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E63" w:rsidRDefault="008F3E63" w:rsidP="008F3E63">
      <w:pPr>
        <w:spacing w:after="0"/>
        <w:jc w:val="center"/>
      </w:pPr>
      <w:r>
        <w:t>CI 512: TEACHING AND LEARNING</w:t>
      </w:r>
    </w:p>
    <w:p w:rsidR="008F3E63" w:rsidRDefault="008F3E63" w:rsidP="008F3E63">
      <w:pPr>
        <w:spacing w:after="0"/>
        <w:jc w:val="center"/>
      </w:pPr>
      <w:r>
        <w:t>Portland State University</w:t>
      </w:r>
    </w:p>
    <w:p w:rsidR="00940529" w:rsidRPr="00940529" w:rsidRDefault="008F3E63" w:rsidP="008F3E63">
      <w:pPr>
        <w:spacing w:after="0"/>
        <w:jc w:val="center"/>
      </w:pPr>
      <w:r>
        <w:t xml:space="preserve">Graduate School of </w:t>
      </w:r>
      <w:r w:rsidRPr="00940529">
        <w:t>Education- Curriculum and Instruction</w:t>
      </w:r>
    </w:p>
    <w:p w:rsidR="008F3E63" w:rsidRPr="00940529" w:rsidRDefault="00940529" w:rsidP="008F3E63">
      <w:pPr>
        <w:spacing w:after="0"/>
        <w:jc w:val="center"/>
      </w:pPr>
      <w:r w:rsidRPr="00940529">
        <w:t>CRN#</w:t>
      </w:r>
      <w:r w:rsidRPr="00940529">
        <w:rPr>
          <w:szCs w:val="15"/>
        </w:rPr>
        <w:t xml:space="preserve"> 80359</w:t>
      </w:r>
    </w:p>
    <w:p w:rsidR="008F3E63" w:rsidRPr="00940529" w:rsidRDefault="008F3E63" w:rsidP="008F3E63">
      <w:pPr>
        <w:pBdr>
          <w:bottom w:val="thickThinSmallGap" w:sz="24" w:space="1" w:color="auto"/>
        </w:pBdr>
        <w:spacing w:after="0"/>
        <w:jc w:val="center"/>
      </w:pPr>
      <w:r w:rsidRPr="00940529">
        <w:t>Summer 2011</w:t>
      </w:r>
    </w:p>
    <w:p w:rsidR="008F3E63" w:rsidRDefault="008F3E63" w:rsidP="008F3E63">
      <w:pPr>
        <w:spacing w:after="0"/>
      </w:pPr>
      <w:r>
        <w:t>Instructor: Carolyn McCaffrey</w:t>
      </w:r>
      <w:r>
        <w:tab/>
      </w:r>
      <w:r>
        <w:tab/>
      </w:r>
      <w:r>
        <w:tab/>
      </w:r>
      <w:r>
        <w:tab/>
        <w:t>Office: NH 430M</w:t>
      </w:r>
    </w:p>
    <w:p w:rsidR="0085135D" w:rsidRDefault="008F3E63" w:rsidP="0085135D">
      <w:pPr>
        <w:spacing w:after="0"/>
      </w:pPr>
      <w:r>
        <w:t xml:space="preserve">Email: </w:t>
      </w:r>
      <w:hyperlink r:id="rId6" w:history="1">
        <w:r w:rsidRPr="00A50B97">
          <w:rPr>
            <w:rStyle w:val="Hyperlink"/>
          </w:rPr>
          <w:t>mccaffrc@pdx.edu</w:t>
        </w:r>
      </w:hyperlink>
      <w:r>
        <w:tab/>
      </w:r>
      <w:r>
        <w:tab/>
      </w:r>
      <w:r>
        <w:tab/>
      </w:r>
      <w:r>
        <w:tab/>
      </w:r>
      <w:r>
        <w:tab/>
        <w:t xml:space="preserve">Office hours: </w:t>
      </w:r>
      <w:r w:rsidR="0085135D">
        <w:t>Mon 3-4,</w:t>
      </w:r>
      <w:r>
        <w:t xml:space="preserve"> </w:t>
      </w:r>
      <w:r w:rsidR="0085135D">
        <w:t xml:space="preserve">Thurs 12-1 </w:t>
      </w:r>
    </w:p>
    <w:p w:rsidR="008F3E63" w:rsidRDefault="0085135D" w:rsidP="0085135D">
      <w:pPr>
        <w:spacing w:after="0"/>
        <w:ind w:left="6480" w:firstLine="720"/>
      </w:pPr>
      <w:proofErr w:type="gramStart"/>
      <w:r>
        <w:t>and</w:t>
      </w:r>
      <w:proofErr w:type="gramEnd"/>
      <w:r>
        <w:t xml:space="preserve"> by appointment</w:t>
      </w:r>
    </w:p>
    <w:p w:rsidR="008F3E63" w:rsidRDefault="008F3E63" w:rsidP="008F3E63">
      <w:pPr>
        <w:spacing w:after="0"/>
      </w:pPr>
    </w:p>
    <w:p w:rsidR="008F3E63" w:rsidRDefault="008F3E63" w:rsidP="008F3E63">
      <w:pPr>
        <w:spacing w:after="0"/>
        <w:rPr>
          <w:b/>
        </w:rPr>
      </w:pPr>
      <w:r w:rsidRPr="008F3E63">
        <w:rPr>
          <w:b/>
        </w:rPr>
        <w:t>Course Description</w:t>
      </w:r>
    </w:p>
    <w:p w:rsidR="008F3E63" w:rsidRPr="008F3E63" w:rsidRDefault="008F3E63" w:rsidP="008F3E63">
      <w:pPr>
        <w:spacing w:after="0"/>
        <w:rPr>
          <w:b/>
          <w:i/>
        </w:rPr>
      </w:pPr>
      <w:r w:rsidRPr="008F3E63">
        <w:rPr>
          <w:i/>
        </w:rPr>
        <w:t>As described in the PSU Bulletin:</w:t>
      </w:r>
    </w:p>
    <w:p w:rsidR="008F3E63" w:rsidRDefault="008F3E63" w:rsidP="008F3E63">
      <w:pPr>
        <w:spacing w:after="0"/>
      </w:pPr>
      <w:proofErr w:type="gramStart"/>
      <w:r>
        <w:t>Principles of human learning and related practices for classroom teaching.</w:t>
      </w:r>
      <w:proofErr w:type="gramEnd"/>
      <w:r>
        <w:t xml:space="preserve">  The psychology of learning in a school setting includes both individual and group generalizations. </w:t>
      </w:r>
      <w:proofErr w:type="gramStart"/>
      <w:r>
        <w:t>The roles and functions of a classroom teacher as a facilitator of learning, and a decision maker concerning pupil needs and achievement.</w:t>
      </w:r>
      <w:proofErr w:type="gramEnd"/>
    </w:p>
    <w:p w:rsidR="008F3E63" w:rsidRDefault="008F3E63" w:rsidP="008F3E63">
      <w:pPr>
        <w:spacing w:after="0"/>
      </w:pPr>
    </w:p>
    <w:p w:rsidR="008F3E63" w:rsidRDefault="008F3E63" w:rsidP="008F3E63">
      <w:pPr>
        <w:spacing w:after="0"/>
        <w:rPr>
          <w:b/>
        </w:rPr>
      </w:pPr>
      <w:r>
        <w:rPr>
          <w:b/>
        </w:rPr>
        <w:t>Course Goals and Assessments</w:t>
      </w:r>
    </w:p>
    <w:tbl>
      <w:tblPr>
        <w:tblStyle w:val="TableGrid"/>
        <w:tblW w:w="0" w:type="auto"/>
        <w:tblLayout w:type="fixed"/>
        <w:tblLook w:val="00A0" w:firstRow="1" w:lastRow="0" w:firstColumn="1" w:lastColumn="0" w:noHBand="0" w:noVBand="0"/>
      </w:tblPr>
      <w:tblGrid>
        <w:gridCol w:w="4068"/>
        <w:gridCol w:w="1170"/>
        <w:gridCol w:w="1260"/>
        <w:gridCol w:w="1710"/>
        <w:gridCol w:w="1368"/>
      </w:tblGrid>
      <w:tr w:rsidR="008F3E63" w:rsidTr="0085135D">
        <w:trPr>
          <w:trHeight w:val="594"/>
        </w:trPr>
        <w:tc>
          <w:tcPr>
            <w:tcW w:w="4068" w:type="dxa"/>
          </w:tcPr>
          <w:p w:rsidR="008F3E63" w:rsidRPr="008F3E63" w:rsidRDefault="008F3E63" w:rsidP="008F3E63">
            <w:r w:rsidRPr="008F3E63">
              <w:t>In this course you will:</w:t>
            </w:r>
          </w:p>
        </w:tc>
        <w:tc>
          <w:tcPr>
            <w:tcW w:w="1170" w:type="dxa"/>
          </w:tcPr>
          <w:p w:rsidR="008F3E63" w:rsidRPr="0085135D" w:rsidRDefault="008F3E63" w:rsidP="008F3E63">
            <w:pPr>
              <w:rPr>
                <w:sz w:val="22"/>
                <w:szCs w:val="22"/>
              </w:rPr>
            </w:pPr>
            <w:r w:rsidRPr="0085135D">
              <w:rPr>
                <w:sz w:val="22"/>
                <w:szCs w:val="22"/>
              </w:rPr>
              <w:t>TSPC Standards</w:t>
            </w:r>
          </w:p>
        </w:tc>
        <w:tc>
          <w:tcPr>
            <w:tcW w:w="1260" w:type="dxa"/>
          </w:tcPr>
          <w:p w:rsidR="008F3E63" w:rsidRPr="0085135D" w:rsidRDefault="008F3E63" w:rsidP="008F3E63">
            <w:pPr>
              <w:rPr>
                <w:sz w:val="22"/>
                <w:szCs w:val="22"/>
              </w:rPr>
            </w:pPr>
            <w:r w:rsidRPr="0085135D">
              <w:rPr>
                <w:sz w:val="22"/>
                <w:szCs w:val="22"/>
              </w:rPr>
              <w:t>INTASC Standards</w:t>
            </w:r>
          </w:p>
        </w:tc>
        <w:tc>
          <w:tcPr>
            <w:tcW w:w="1710" w:type="dxa"/>
          </w:tcPr>
          <w:p w:rsidR="008F3E63" w:rsidRPr="0085135D" w:rsidRDefault="008F3E63" w:rsidP="008F3E63">
            <w:pPr>
              <w:rPr>
                <w:sz w:val="22"/>
                <w:szCs w:val="22"/>
              </w:rPr>
            </w:pPr>
            <w:r w:rsidRPr="0085135D">
              <w:rPr>
                <w:sz w:val="22"/>
                <w:szCs w:val="22"/>
              </w:rPr>
              <w:t>GSE Conceptual Framework</w:t>
            </w:r>
          </w:p>
        </w:tc>
        <w:tc>
          <w:tcPr>
            <w:tcW w:w="1368" w:type="dxa"/>
          </w:tcPr>
          <w:p w:rsidR="008F3E63" w:rsidRPr="0085135D" w:rsidRDefault="008F3E63" w:rsidP="008F3E63">
            <w:pPr>
              <w:rPr>
                <w:sz w:val="22"/>
                <w:szCs w:val="22"/>
              </w:rPr>
            </w:pPr>
            <w:r w:rsidRPr="0085135D">
              <w:rPr>
                <w:sz w:val="22"/>
                <w:szCs w:val="22"/>
              </w:rPr>
              <w:t>Assessment</w:t>
            </w:r>
          </w:p>
        </w:tc>
      </w:tr>
      <w:tr w:rsidR="008F3E63" w:rsidTr="0085135D">
        <w:trPr>
          <w:trHeight w:val="289"/>
        </w:trPr>
        <w:tc>
          <w:tcPr>
            <w:tcW w:w="4068" w:type="dxa"/>
          </w:tcPr>
          <w:p w:rsidR="008F3E63" w:rsidRPr="008F3E63" w:rsidRDefault="008F3E63" w:rsidP="00940529">
            <w:r>
              <w:t xml:space="preserve">1. </w:t>
            </w:r>
            <w:r w:rsidR="00940529">
              <w:t>E</w:t>
            </w:r>
            <w:r>
              <w:t>stablish basic critical literacy in a broad foundation of learning theories, including the work of “distant colleag</w:t>
            </w:r>
            <w:r w:rsidR="00940529">
              <w:t>u</w:t>
            </w:r>
            <w:r>
              <w:t xml:space="preserve">es” such as B.F. Skinner, Wolfgang </w:t>
            </w:r>
            <w:proofErr w:type="spellStart"/>
            <w:r>
              <w:t>Köhler</w:t>
            </w:r>
            <w:proofErr w:type="spellEnd"/>
            <w:r>
              <w:t xml:space="preserve">, Jean Piaget, John Dewey, and Lev </w:t>
            </w:r>
            <w:proofErr w:type="spellStart"/>
            <w:r>
              <w:t>Vygotsky</w:t>
            </w:r>
            <w:proofErr w:type="spellEnd"/>
            <w:r>
              <w:t>, by showing how each views knowledge, the learner, the role of the teacher and school, and how each describes the learning process.</w:t>
            </w:r>
          </w:p>
        </w:tc>
        <w:tc>
          <w:tcPr>
            <w:tcW w:w="1170" w:type="dxa"/>
          </w:tcPr>
          <w:p w:rsidR="008F3E63" w:rsidRPr="008F3E63" w:rsidRDefault="008F3E63" w:rsidP="008F3E63">
            <w:r>
              <w:t>1(a), 3(d), 3(e)</w:t>
            </w:r>
          </w:p>
        </w:tc>
        <w:tc>
          <w:tcPr>
            <w:tcW w:w="1260" w:type="dxa"/>
          </w:tcPr>
          <w:p w:rsidR="008F3E63" w:rsidRPr="008F3E63" w:rsidRDefault="008F3E63" w:rsidP="008F3E63">
            <w:r>
              <w:t>2.11</w:t>
            </w:r>
          </w:p>
        </w:tc>
        <w:tc>
          <w:tcPr>
            <w:tcW w:w="1710" w:type="dxa"/>
          </w:tcPr>
          <w:p w:rsidR="008F3E63" w:rsidRDefault="008F3E63" w:rsidP="008F3E63">
            <w:r>
              <w:t>2.1, 2.2</w:t>
            </w:r>
          </w:p>
        </w:tc>
        <w:tc>
          <w:tcPr>
            <w:tcW w:w="1368" w:type="dxa"/>
          </w:tcPr>
          <w:p w:rsidR="008F3E63" w:rsidRPr="008F3E63" w:rsidRDefault="008F3E63" w:rsidP="008F3E63">
            <w:r>
              <w:t>Reflection papers and reading responses</w:t>
            </w:r>
          </w:p>
        </w:tc>
      </w:tr>
      <w:tr w:rsidR="008F3E63" w:rsidTr="0085135D">
        <w:trPr>
          <w:trHeight w:val="289"/>
        </w:trPr>
        <w:tc>
          <w:tcPr>
            <w:tcW w:w="4068" w:type="dxa"/>
          </w:tcPr>
          <w:p w:rsidR="008F3E63" w:rsidRPr="008F3E63" w:rsidRDefault="008F3E63" w:rsidP="00940529">
            <w:r>
              <w:t xml:space="preserve">2. </w:t>
            </w:r>
            <w:r w:rsidR="00940529">
              <w:t>B</w:t>
            </w:r>
            <w:r>
              <w:t>egin building a foundation for reflective practice by formulating and articulating a personal learning theory informed by personal experience and reflection, the voices of our learning community, as well as “distant colleagues.”</w:t>
            </w:r>
          </w:p>
        </w:tc>
        <w:tc>
          <w:tcPr>
            <w:tcW w:w="1170" w:type="dxa"/>
          </w:tcPr>
          <w:p w:rsidR="008F3E63" w:rsidRPr="008F3E63" w:rsidRDefault="008F3E63" w:rsidP="008F3E63">
            <w:r>
              <w:t>5(k)</w:t>
            </w:r>
          </w:p>
        </w:tc>
        <w:tc>
          <w:tcPr>
            <w:tcW w:w="1260" w:type="dxa"/>
          </w:tcPr>
          <w:p w:rsidR="008F3E63" w:rsidRPr="008F3E63" w:rsidRDefault="008F3E63" w:rsidP="008F3E63">
            <w:r>
              <w:t>9.11, 9.12, 9.22, 9.32</w:t>
            </w:r>
          </w:p>
        </w:tc>
        <w:tc>
          <w:tcPr>
            <w:tcW w:w="1710" w:type="dxa"/>
          </w:tcPr>
          <w:p w:rsidR="008F3E63" w:rsidRPr="008F3E63" w:rsidRDefault="00940529" w:rsidP="008F3E63">
            <w:r>
              <w:t>1.2, 2.1, 2.2</w:t>
            </w:r>
          </w:p>
        </w:tc>
        <w:tc>
          <w:tcPr>
            <w:tcW w:w="1368" w:type="dxa"/>
          </w:tcPr>
          <w:p w:rsidR="008F3E63" w:rsidRPr="008F3E63" w:rsidRDefault="00940529" w:rsidP="008F3E63">
            <w:r>
              <w:t>Synthesis Paper</w:t>
            </w:r>
          </w:p>
        </w:tc>
      </w:tr>
      <w:tr w:rsidR="008F3E63" w:rsidTr="0085135D">
        <w:trPr>
          <w:trHeight w:val="289"/>
        </w:trPr>
        <w:tc>
          <w:tcPr>
            <w:tcW w:w="4068" w:type="dxa"/>
          </w:tcPr>
          <w:p w:rsidR="008F3E63" w:rsidRPr="00940529" w:rsidRDefault="00940529" w:rsidP="00940529">
            <w:pPr>
              <w:rPr>
                <w:i/>
              </w:rPr>
            </w:pPr>
            <w:r>
              <w:t xml:space="preserve">3. Understand how the learning theories we hold as teachers affect both our individual classroom practice as well as the larger community and society, </w:t>
            </w:r>
            <w:r>
              <w:rPr>
                <w:i/>
              </w:rPr>
              <w:t>empowering us to meet diverse communities’ lifelong educational needs.</w:t>
            </w:r>
          </w:p>
        </w:tc>
        <w:tc>
          <w:tcPr>
            <w:tcW w:w="1170" w:type="dxa"/>
          </w:tcPr>
          <w:p w:rsidR="008F3E63" w:rsidRPr="008F3E63" w:rsidRDefault="00940529" w:rsidP="008F3E63">
            <w:r>
              <w:t>5(k)</w:t>
            </w:r>
          </w:p>
        </w:tc>
        <w:tc>
          <w:tcPr>
            <w:tcW w:w="1260" w:type="dxa"/>
          </w:tcPr>
          <w:p w:rsidR="008F3E63" w:rsidRPr="008F3E63" w:rsidRDefault="00940529" w:rsidP="008F3E63">
            <w:r>
              <w:t>9.22, 9.24, 9.25</w:t>
            </w:r>
          </w:p>
        </w:tc>
        <w:tc>
          <w:tcPr>
            <w:tcW w:w="1710" w:type="dxa"/>
          </w:tcPr>
          <w:p w:rsidR="008F3E63" w:rsidRPr="008F3E63" w:rsidRDefault="00940529" w:rsidP="008F3E63">
            <w:r>
              <w:t>1.1, 1.2, 3.1, 4.1</w:t>
            </w:r>
          </w:p>
        </w:tc>
        <w:tc>
          <w:tcPr>
            <w:tcW w:w="1368" w:type="dxa"/>
          </w:tcPr>
          <w:p w:rsidR="008F3E63" w:rsidRPr="008F3E63" w:rsidRDefault="00940529" w:rsidP="008F3E63">
            <w:r>
              <w:t>Reflection papers, reading responses, and synthesis paper</w:t>
            </w:r>
          </w:p>
        </w:tc>
      </w:tr>
    </w:tbl>
    <w:p w:rsidR="0085135D" w:rsidRDefault="0085135D" w:rsidP="008F3E63">
      <w:pPr>
        <w:spacing w:after="0"/>
        <w:rPr>
          <w:b/>
        </w:rPr>
      </w:pPr>
    </w:p>
    <w:p w:rsidR="00940529" w:rsidRDefault="00294FCA" w:rsidP="008F3E63">
      <w:pPr>
        <w:spacing w:after="0"/>
        <w:rPr>
          <w:b/>
        </w:rPr>
      </w:pPr>
      <w:r>
        <w:rPr>
          <w:b/>
        </w:rPr>
        <w:lastRenderedPageBreak/>
        <w:t>The Graduate School of Education’s Conceptual Framework</w:t>
      </w:r>
    </w:p>
    <w:p w:rsidR="00294FCA" w:rsidRDefault="00294FCA" w:rsidP="008F3E63">
      <w:pPr>
        <w:spacing w:after="0"/>
      </w:pPr>
      <w:r>
        <w:t>Prepare our candidates to provide leadership in:</w:t>
      </w:r>
    </w:p>
    <w:p w:rsidR="00294FCA" w:rsidRDefault="00294FCA" w:rsidP="00294FCA">
      <w:pPr>
        <w:pStyle w:val="ListParagraph"/>
        <w:numPr>
          <w:ilvl w:val="0"/>
          <w:numId w:val="1"/>
        </w:numPr>
        <w:spacing w:after="0"/>
      </w:pPr>
      <w:r>
        <w:rPr>
          <w:b/>
          <w:i/>
        </w:rPr>
        <w:t>Diversity &amp; Inclusiveness</w:t>
      </w:r>
    </w:p>
    <w:p w:rsidR="00294FCA" w:rsidRDefault="00294FCA" w:rsidP="00294FCA">
      <w:pPr>
        <w:pStyle w:val="ListParagraph"/>
        <w:numPr>
          <w:ilvl w:val="1"/>
          <w:numId w:val="5"/>
        </w:numPr>
        <w:spacing w:after="0"/>
      </w:pPr>
      <w:r>
        <w:t>To work in diverse settings</w:t>
      </w:r>
    </w:p>
    <w:p w:rsidR="00294FCA" w:rsidRDefault="00294FCA" w:rsidP="00294FCA">
      <w:pPr>
        <w:pStyle w:val="ListParagraph"/>
        <w:numPr>
          <w:ilvl w:val="1"/>
          <w:numId w:val="5"/>
        </w:numPr>
        <w:spacing w:after="0"/>
      </w:pPr>
      <w:r>
        <w:t>To promote inclusive and therapeutic environments</w:t>
      </w:r>
    </w:p>
    <w:p w:rsidR="00294FCA" w:rsidRDefault="00294FCA" w:rsidP="00294FCA">
      <w:pPr>
        <w:pStyle w:val="ListParagraph"/>
        <w:numPr>
          <w:ilvl w:val="0"/>
          <w:numId w:val="1"/>
        </w:numPr>
        <w:spacing w:after="0"/>
      </w:pPr>
      <w:r>
        <w:rPr>
          <w:b/>
          <w:i/>
        </w:rPr>
        <w:t>Research-Based Practices &amp; Professional Standards</w:t>
      </w:r>
    </w:p>
    <w:p w:rsidR="00294FCA" w:rsidRDefault="00294FCA" w:rsidP="00294FCA">
      <w:pPr>
        <w:pStyle w:val="ListParagraph"/>
        <w:numPr>
          <w:ilvl w:val="1"/>
          <w:numId w:val="4"/>
        </w:numPr>
        <w:spacing w:after="0"/>
      </w:pPr>
      <w:r>
        <w:t>To critically analyze and implement research-based practices</w:t>
      </w:r>
    </w:p>
    <w:p w:rsidR="00294FCA" w:rsidRDefault="00294FCA" w:rsidP="00294FCA">
      <w:pPr>
        <w:pStyle w:val="ListParagraph"/>
        <w:numPr>
          <w:ilvl w:val="1"/>
          <w:numId w:val="4"/>
        </w:numPr>
        <w:spacing w:after="0"/>
      </w:pPr>
      <w:r>
        <w:t>To demonstrate appropriate professional knowledge, skills, and dispositions</w:t>
      </w:r>
    </w:p>
    <w:p w:rsidR="00294FCA" w:rsidRPr="00294FCA" w:rsidRDefault="00294FCA" w:rsidP="00294FCA">
      <w:pPr>
        <w:pStyle w:val="ListParagraph"/>
        <w:numPr>
          <w:ilvl w:val="0"/>
          <w:numId w:val="1"/>
        </w:numPr>
        <w:spacing w:after="0"/>
      </w:pPr>
      <w:r>
        <w:rPr>
          <w:b/>
          <w:i/>
        </w:rPr>
        <w:t>Impact on Learning and Development</w:t>
      </w:r>
    </w:p>
    <w:p w:rsidR="00294FCA" w:rsidRDefault="00294FCA" w:rsidP="00294FCA">
      <w:pPr>
        <w:pStyle w:val="ListParagraph"/>
        <w:numPr>
          <w:ilvl w:val="1"/>
          <w:numId w:val="3"/>
        </w:numPr>
        <w:spacing w:after="0"/>
      </w:pPr>
      <w:r>
        <w:t>To ensure all learners and clients succeed</w:t>
      </w:r>
    </w:p>
    <w:p w:rsidR="00294FCA" w:rsidRDefault="00294FCA" w:rsidP="00294FCA">
      <w:pPr>
        <w:pStyle w:val="ListParagraph"/>
        <w:numPr>
          <w:ilvl w:val="1"/>
          <w:numId w:val="3"/>
        </w:numPr>
        <w:spacing w:after="0"/>
      </w:pPr>
      <w:r>
        <w:t>To use technology to enhance learning</w:t>
      </w:r>
    </w:p>
    <w:p w:rsidR="00294FCA" w:rsidRDefault="00294FCA" w:rsidP="00294FCA">
      <w:pPr>
        <w:pStyle w:val="ListParagraph"/>
        <w:numPr>
          <w:ilvl w:val="1"/>
          <w:numId w:val="3"/>
        </w:numPr>
        <w:spacing w:after="0"/>
      </w:pPr>
      <w:r>
        <w:t>To influence policy and provide leadership for organizations</w:t>
      </w:r>
    </w:p>
    <w:p w:rsidR="00294FCA" w:rsidRPr="00294FCA" w:rsidRDefault="00294FCA" w:rsidP="00294FCA">
      <w:pPr>
        <w:pStyle w:val="ListParagraph"/>
        <w:numPr>
          <w:ilvl w:val="0"/>
          <w:numId w:val="1"/>
        </w:numPr>
        <w:spacing w:after="0"/>
      </w:pPr>
      <w:r>
        <w:rPr>
          <w:b/>
          <w:i/>
        </w:rPr>
        <w:t>Evidence-Informed Decision Making</w:t>
      </w:r>
    </w:p>
    <w:p w:rsidR="00294FCA" w:rsidRDefault="00294FCA" w:rsidP="00294FCA">
      <w:pPr>
        <w:pStyle w:val="ListParagraph"/>
        <w:numPr>
          <w:ilvl w:val="1"/>
          <w:numId w:val="2"/>
        </w:numPr>
        <w:spacing w:after="0"/>
      </w:pPr>
      <w:r>
        <w:t>To use evidence to solve problems of practice and make educational and therapeutic decisions</w:t>
      </w:r>
    </w:p>
    <w:p w:rsidR="00940529" w:rsidRDefault="00940529" w:rsidP="008F3E63">
      <w:pPr>
        <w:spacing w:after="0"/>
        <w:rPr>
          <w:b/>
        </w:rPr>
      </w:pPr>
    </w:p>
    <w:p w:rsidR="00294FCA" w:rsidRDefault="00294FCA" w:rsidP="00294FCA">
      <w:pPr>
        <w:spacing w:after="0"/>
      </w:pPr>
      <w:r>
        <w:rPr>
          <w:b/>
        </w:rPr>
        <w:t>If you require accommodations</w:t>
      </w:r>
      <w:r>
        <w:t xml:space="preserve"> (e.g. special seating, interpreter, note-taker, etc.), please inform your instructor immediately.  Students with disabilities should register with the PSU Disability Resource Center (503-725-4150; TTY or Relay 503-725-4178) to document their need for accommodations and obtain support services. I will work with you to arrange the supports you need for this class.</w:t>
      </w:r>
    </w:p>
    <w:p w:rsidR="00294FCA" w:rsidRDefault="00294FCA" w:rsidP="008F3E63">
      <w:pPr>
        <w:spacing w:after="0"/>
        <w:rPr>
          <w:b/>
        </w:rPr>
      </w:pPr>
    </w:p>
    <w:p w:rsidR="003B308E" w:rsidRPr="007275CE" w:rsidRDefault="00940529" w:rsidP="008F3E63">
      <w:pPr>
        <w:spacing w:after="0"/>
        <w:rPr>
          <w:b/>
        </w:rPr>
      </w:pPr>
      <w:r>
        <w:rPr>
          <w:b/>
        </w:rPr>
        <w:t xml:space="preserve">Course </w:t>
      </w:r>
      <w:r w:rsidR="003B308E">
        <w:rPr>
          <w:b/>
        </w:rPr>
        <w:t>Grade</w:t>
      </w:r>
    </w:p>
    <w:p w:rsidR="003B308E" w:rsidRDefault="003B308E" w:rsidP="008F3E63">
      <w:pPr>
        <w:spacing w:after="0"/>
      </w:pPr>
      <w:r>
        <w:t>Attendance</w:t>
      </w:r>
      <w:r w:rsidR="007C6A2A">
        <w:t xml:space="preserve"> and Participation</w:t>
      </w:r>
      <w:r w:rsidR="007C6A2A">
        <w:tab/>
      </w:r>
      <w:r w:rsidR="007C6A2A">
        <w:tab/>
      </w:r>
      <w:r w:rsidR="007C6A2A">
        <w:tab/>
      </w:r>
      <w:r w:rsidR="007C6A2A">
        <w:tab/>
      </w:r>
      <w:r w:rsidR="007C6A2A">
        <w:tab/>
      </w:r>
      <w:r w:rsidR="007C6A2A">
        <w:tab/>
      </w:r>
      <w:r w:rsidR="0019388C">
        <w:t>4</w:t>
      </w:r>
      <w:r w:rsidR="00261958">
        <w:t>0</w:t>
      </w:r>
      <w:r w:rsidR="0019388C">
        <w:t xml:space="preserve"> points</w:t>
      </w:r>
      <w:r w:rsidR="007275CE">
        <w:t xml:space="preserve"> </w:t>
      </w:r>
    </w:p>
    <w:p w:rsidR="003B308E" w:rsidRDefault="003B308E" w:rsidP="008F3E63">
      <w:pPr>
        <w:spacing w:after="0"/>
      </w:pPr>
      <w:r>
        <w:t>Reading Responses</w:t>
      </w:r>
      <w:r w:rsidR="007C6A2A">
        <w:tab/>
      </w:r>
      <w:r w:rsidR="007C6A2A">
        <w:tab/>
      </w:r>
      <w:r w:rsidR="007C6A2A">
        <w:tab/>
      </w:r>
      <w:r w:rsidR="007C6A2A">
        <w:tab/>
      </w:r>
      <w:r w:rsidR="007C6A2A">
        <w:tab/>
      </w:r>
      <w:r w:rsidR="007C6A2A">
        <w:tab/>
      </w:r>
      <w:r w:rsidR="007C6A2A">
        <w:tab/>
      </w:r>
      <w:r w:rsidR="007C6A2A">
        <w:tab/>
      </w:r>
      <w:r w:rsidR="00261958">
        <w:t>50</w:t>
      </w:r>
      <w:r w:rsidR="0019388C">
        <w:t xml:space="preserve"> points</w:t>
      </w:r>
    </w:p>
    <w:p w:rsidR="003B308E" w:rsidRDefault="003B308E" w:rsidP="008F3E63">
      <w:pPr>
        <w:spacing w:after="0"/>
      </w:pPr>
      <w:r>
        <w:t xml:space="preserve">Snapshots of </w:t>
      </w:r>
      <w:proofErr w:type="gramStart"/>
      <w:r>
        <w:t>Learning</w:t>
      </w:r>
      <w:proofErr w:type="gramEnd"/>
      <w:r w:rsidR="007C6A2A">
        <w:t xml:space="preserve"> </w:t>
      </w:r>
      <w:r w:rsidR="0019388C">
        <w:tab/>
      </w:r>
      <w:r w:rsidR="0019388C">
        <w:tab/>
      </w:r>
      <w:r w:rsidR="0019388C">
        <w:tab/>
      </w:r>
      <w:r w:rsidR="007C6A2A">
        <w:tab/>
      </w:r>
      <w:r w:rsidR="007C6A2A">
        <w:tab/>
      </w:r>
      <w:r w:rsidR="007C6A2A">
        <w:tab/>
      </w:r>
      <w:r w:rsidR="007C6A2A">
        <w:tab/>
      </w:r>
      <w:r w:rsidR="0019388C">
        <w:t>80 points</w:t>
      </w:r>
    </w:p>
    <w:p w:rsidR="00261958" w:rsidRDefault="00261958" w:rsidP="008F3E63">
      <w:pPr>
        <w:spacing w:after="0"/>
      </w:pPr>
      <w:r>
        <w:t>Collaborative Project: Teaching Application</w:t>
      </w:r>
      <w:r>
        <w:tab/>
      </w:r>
      <w:r>
        <w:tab/>
      </w:r>
      <w:r>
        <w:tab/>
      </w:r>
      <w:r>
        <w:tab/>
        <w:t>80 points</w:t>
      </w:r>
    </w:p>
    <w:p w:rsidR="003B308E" w:rsidRDefault="003B308E" w:rsidP="008F3E63">
      <w:pPr>
        <w:spacing w:after="0"/>
      </w:pPr>
      <w:r>
        <w:t>Synthesis paper: Personal perspectives on teaching and learning</w:t>
      </w:r>
      <w:r w:rsidR="007C6A2A">
        <w:tab/>
      </w:r>
      <w:r w:rsidR="0019388C">
        <w:t>100 points</w:t>
      </w:r>
      <w:r w:rsidR="007C6A2A">
        <w:tab/>
      </w:r>
    </w:p>
    <w:p w:rsidR="003B308E" w:rsidRDefault="003B308E" w:rsidP="008F3E63">
      <w:pPr>
        <w:spacing w:after="0"/>
      </w:pPr>
    </w:p>
    <w:p w:rsidR="003B308E" w:rsidRDefault="001455E6" w:rsidP="008F3E63">
      <w:pPr>
        <w:spacing w:after="0"/>
        <w:rPr>
          <w:b/>
        </w:rPr>
      </w:pPr>
      <w:r>
        <w:rPr>
          <w:b/>
        </w:rPr>
        <w:t>Late Work Policy</w:t>
      </w:r>
    </w:p>
    <w:p w:rsidR="001455E6" w:rsidRPr="001455E6" w:rsidRDefault="001455E6" w:rsidP="008F3E63">
      <w:pPr>
        <w:spacing w:after="0"/>
      </w:pPr>
      <w:r>
        <w:t xml:space="preserve">As a policy I do not accept late work.  In the case of special circumstances, late work may be accepted if arrangements are made prior to the due date.  </w:t>
      </w:r>
      <w:r w:rsidR="000C2D16">
        <w:t>Late work may not receive full credit.</w:t>
      </w:r>
    </w:p>
    <w:p w:rsidR="001455E6" w:rsidRDefault="001455E6" w:rsidP="008F3E63">
      <w:pPr>
        <w:spacing w:after="0"/>
      </w:pPr>
    </w:p>
    <w:p w:rsidR="003B308E" w:rsidRDefault="003B308E" w:rsidP="008F3E63">
      <w:pPr>
        <w:spacing w:after="0"/>
        <w:rPr>
          <w:b/>
        </w:rPr>
      </w:pPr>
      <w:r>
        <w:rPr>
          <w:b/>
        </w:rPr>
        <w:t>Attendance</w:t>
      </w:r>
      <w:r w:rsidR="0019388C">
        <w:rPr>
          <w:b/>
        </w:rPr>
        <w:t xml:space="preserve"> and Participation</w:t>
      </w:r>
    </w:p>
    <w:p w:rsidR="001455E6" w:rsidRPr="001455E6" w:rsidRDefault="001455E6" w:rsidP="001455E6">
      <w:pPr>
        <w:spacing w:after="0"/>
        <w:rPr>
          <w:rFonts w:cs="Times New Roman"/>
        </w:rPr>
      </w:pPr>
      <w:r w:rsidRPr="001455E6">
        <w:rPr>
          <w:rFonts w:cs="Times New Roman"/>
        </w:rPr>
        <w:t>Attendance and participation are required elements of this course and are included as part of the course grade</w:t>
      </w:r>
      <w:r>
        <w:rPr>
          <w:rFonts w:cs="Times New Roman"/>
        </w:rPr>
        <w:t xml:space="preserve">. </w:t>
      </w:r>
      <w:r w:rsidRPr="001455E6">
        <w:rPr>
          <w:rFonts w:cs="Times New Roman"/>
        </w:rPr>
        <w:t>Active participation includes coming to class on time, being prepared (assignments and readings completed), being ready to share thoughts, and willing to ask questions in</w:t>
      </w:r>
      <w:r>
        <w:rPr>
          <w:rFonts w:cs="Times New Roman"/>
        </w:rPr>
        <w:t xml:space="preserve"> whole class or in small groups.</w:t>
      </w:r>
      <w:r w:rsidRPr="001455E6">
        <w:t xml:space="preserve">  Please bring either paper or electronic copies of that day’s reading to class to assist in classroom discussions.  At the end of each class you will self-evaluate your level of class participation with an exit card.</w:t>
      </w:r>
    </w:p>
    <w:p w:rsidR="001455E6" w:rsidRDefault="001455E6" w:rsidP="001455E6">
      <w:pPr>
        <w:spacing w:after="0"/>
        <w:rPr>
          <w:rFonts w:ascii="Times New Roman" w:hAnsi="Times New Roman" w:cs="Times New Roman"/>
        </w:rPr>
      </w:pPr>
    </w:p>
    <w:p w:rsidR="001455E6" w:rsidRDefault="001455E6" w:rsidP="001455E6">
      <w:pPr>
        <w:spacing w:after="0"/>
        <w:rPr>
          <w:rFonts w:ascii="Times New Roman" w:hAnsi="Times New Roman" w:cs="Times New Roman"/>
        </w:rPr>
      </w:pPr>
      <w:r w:rsidRPr="001455E6">
        <w:rPr>
          <w:rFonts w:ascii="Times New Roman" w:hAnsi="Times New Roman" w:cs="Times New Roman"/>
        </w:rPr>
        <w:t>If you will be absent, you must email me before class to make special arrangements.</w:t>
      </w:r>
      <w:r>
        <w:rPr>
          <w:rFonts w:ascii="Times New Roman" w:hAnsi="Times New Roman" w:cs="Times New Roman"/>
        </w:rPr>
        <w:t xml:space="preserve"> Being absent does not excuse you from turning in assignments when they are due.  Daily participation points can be redeemed by arrangement through special assignment for one absence only.</w:t>
      </w:r>
    </w:p>
    <w:p w:rsidR="001455E6" w:rsidRDefault="001455E6" w:rsidP="008F3E63">
      <w:pPr>
        <w:spacing w:after="0"/>
      </w:pPr>
    </w:p>
    <w:p w:rsidR="001455E6" w:rsidRPr="001455E6" w:rsidRDefault="001455E6" w:rsidP="008F3E63">
      <w:pPr>
        <w:spacing w:after="0"/>
        <w:rPr>
          <w:b/>
        </w:rPr>
      </w:pPr>
      <w:r w:rsidRPr="001455E6">
        <w:rPr>
          <w:b/>
        </w:rPr>
        <w:t>Absence Make-up Assignment</w:t>
      </w:r>
    </w:p>
    <w:p w:rsidR="008F3E63" w:rsidRDefault="007275CE" w:rsidP="008F3E63">
      <w:pPr>
        <w:spacing w:after="0"/>
      </w:pPr>
      <w:r>
        <w:t>Select an educational article, book, website, video or other educational resource that relates to the topics of teaching and learning.  Write a reflection (no more than 750 words) that includes:</w:t>
      </w:r>
    </w:p>
    <w:p w:rsidR="007275CE" w:rsidRDefault="007275CE" w:rsidP="007275CE">
      <w:pPr>
        <w:pStyle w:val="ListParagraph"/>
        <w:numPr>
          <w:ilvl w:val="0"/>
          <w:numId w:val="10"/>
        </w:numPr>
        <w:spacing w:after="0"/>
      </w:pPr>
      <w:r>
        <w:t>A copy of the resource or web address where the resource can be found</w:t>
      </w:r>
    </w:p>
    <w:p w:rsidR="007275CE" w:rsidRDefault="007275CE" w:rsidP="007275CE">
      <w:pPr>
        <w:pStyle w:val="ListParagraph"/>
        <w:numPr>
          <w:ilvl w:val="0"/>
          <w:numId w:val="10"/>
        </w:numPr>
        <w:spacing w:after="0"/>
      </w:pPr>
      <w:r>
        <w:t>A description of how the resource relates to the topics in this class</w:t>
      </w:r>
    </w:p>
    <w:p w:rsidR="007275CE" w:rsidRDefault="007275CE" w:rsidP="007275CE">
      <w:pPr>
        <w:pStyle w:val="ListParagraph"/>
        <w:numPr>
          <w:ilvl w:val="0"/>
          <w:numId w:val="10"/>
        </w:numPr>
        <w:spacing w:after="0"/>
      </w:pPr>
      <w:r>
        <w:t>A description of what you learned and how you will use this knowledge to improve your teaching or learning</w:t>
      </w:r>
    </w:p>
    <w:p w:rsidR="007275CE" w:rsidRDefault="007275CE" w:rsidP="007275CE">
      <w:pPr>
        <w:pStyle w:val="ListParagraph"/>
        <w:numPr>
          <w:ilvl w:val="0"/>
          <w:numId w:val="10"/>
        </w:numPr>
        <w:spacing w:after="0"/>
      </w:pPr>
      <w:r>
        <w:t>A critique of at least one weakness of the resource or how it could be improved</w:t>
      </w:r>
    </w:p>
    <w:p w:rsidR="00F117E3" w:rsidRDefault="00F117E3" w:rsidP="00F117E3">
      <w:pPr>
        <w:spacing w:after="0"/>
      </w:pPr>
      <w:r>
        <w:t>The make-up assignment must be submitted no later than one week after your absence or August 18, whichever is sooner.  (4 points)</w:t>
      </w:r>
    </w:p>
    <w:p w:rsidR="007275CE" w:rsidRPr="00940529" w:rsidRDefault="007275CE" w:rsidP="008F3E63">
      <w:pPr>
        <w:spacing w:after="0"/>
      </w:pPr>
    </w:p>
    <w:p w:rsidR="008F3E63" w:rsidRDefault="00294FCA" w:rsidP="008F3E63">
      <w:pPr>
        <w:spacing w:after="0"/>
        <w:rPr>
          <w:b/>
        </w:rPr>
      </w:pPr>
      <w:r>
        <w:rPr>
          <w:b/>
        </w:rPr>
        <w:t>Reading Responses</w:t>
      </w:r>
    </w:p>
    <w:p w:rsidR="00103518" w:rsidRDefault="00294FCA" w:rsidP="008F3E63">
      <w:pPr>
        <w:spacing w:after="0"/>
      </w:pPr>
      <w:r>
        <w:t xml:space="preserve">For every </w:t>
      </w:r>
      <w:r w:rsidR="00FF6ADC">
        <w:t>day of</w:t>
      </w:r>
      <w:r>
        <w:t xml:space="preserve"> reading</w:t>
      </w:r>
      <w:r w:rsidR="00FF6ADC">
        <w:t>s</w:t>
      </w:r>
      <w:r>
        <w:t xml:space="preserve">, each student is required to write </w:t>
      </w:r>
      <w:r w:rsidR="00FF6ADC">
        <w:t>one</w:t>
      </w:r>
      <w:r>
        <w:t xml:space="preserve"> reading response. </w:t>
      </w:r>
      <w:r w:rsidR="00FF6ADC">
        <w:t xml:space="preserve"> (There will be 2-3 readings</w:t>
      </w:r>
      <w:r>
        <w:t xml:space="preserve"> </w:t>
      </w:r>
      <w:r w:rsidR="00FF6ADC">
        <w:t xml:space="preserve">for each reading response.)  </w:t>
      </w:r>
      <w:r w:rsidR="00103518">
        <w:t xml:space="preserve">The reading response serves three primary goals: (1) to help focus the reader to read for understanding, (2) to help improve classroom discussion through preparation, and (3) to serve as a resource for the synthesis paper, future course work, and in your teaching practice.  </w:t>
      </w:r>
      <w:r>
        <w:t>The response should be</w:t>
      </w:r>
      <w:r w:rsidR="00FF6ADC">
        <w:t xml:space="preserve"> brief</w:t>
      </w:r>
      <w:r>
        <w:t xml:space="preserve"> </w:t>
      </w:r>
      <w:r w:rsidR="00FF6ADC">
        <w:t>(</w:t>
      </w:r>
      <w:r>
        <w:t xml:space="preserve">no longer than </w:t>
      </w:r>
      <w:r w:rsidR="00FF6ADC">
        <w:t>3</w:t>
      </w:r>
      <w:r>
        <w:t>50</w:t>
      </w:r>
      <w:r w:rsidR="003B308E">
        <w:t xml:space="preserve"> words</w:t>
      </w:r>
      <w:r w:rsidR="00FF6ADC">
        <w:t>),</w:t>
      </w:r>
      <w:r>
        <w:t xml:space="preserve"> typed and dou</w:t>
      </w:r>
      <w:r w:rsidR="00103518">
        <w:t xml:space="preserve">ble spaced.  Responses should be printed and brought to class in paper form to help facilitate class discussion.  </w:t>
      </w:r>
      <w:r w:rsidR="00BF25CA">
        <w:t>R</w:t>
      </w:r>
      <w:r w:rsidR="00103518">
        <w:t>esponses should include the following:</w:t>
      </w:r>
    </w:p>
    <w:p w:rsidR="00294FCA" w:rsidRDefault="00103518" w:rsidP="00103518">
      <w:pPr>
        <w:pStyle w:val="ListParagraph"/>
        <w:numPr>
          <w:ilvl w:val="0"/>
          <w:numId w:val="6"/>
        </w:numPr>
        <w:spacing w:after="0"/>
      </w:pPr>
      <w:r>
        <w:t xml:space="preserve">A bulleted list of  </w:t>
      </w:r>
      <w:r w:rsidR="003B308E">
        <w:t xml:space="preserve">3 to </w:t>
      </w:r>
      <w:r w:rsidR="00FF6ADC">
        <w:t>10</w:t>
      </w:r>
      <w:r w:rsidR="003B308E">
        <w:t xml:space="preserve"> of the main points of the article</w:t>
      </w:r>
      <w:r w:rsidR="00FF6ADC">
        <w:t>s</w:t>
      </w:r>
    </w:p>
    <w:p w:rsidR="003B308E" w:rsidRDefault="003B308E" w:rsidP="00103518">
      <w:pPr>
        <w:pStyle w:val="ListParagraph"/>
        <w:numPr>
          <w:ilvl w:val="0"/>
          <w:numId w:val="6"/>
        </w:numPr>
        <w:spacing w:after="0"/>
      </w:pPr>
      <w:r>
        <w:t>How do your experiences as a teacher or learner relate to th</w:t>
      </w:r>
      <w:r w:rsidR="00FF6ADC">
        <w:t>ese</w:t>
      </w:r>
      <w:r>
        <w:t xml:space="preserve"> article</w:t>
      </w:r>
      <w:r w:rsidR="00FF6ADC">
        <w:t>s</w:t>
      </w:r>
      <w:r>
        <w:t xml:space="preserve"> </w:t>
      </w:r>
      <w:r w:rsidRPr="003B308E">
        <w:rPr>
          <w:b/>
        </w:rPr>
        <w:t>OR</w:t>
      </w:r>
      <w:r w:rsidR="00FF6ADC">
        <w:t xml:space="preserve"> how could </w:t>
      </w:r>
      <w:r>
        <w:t>th</w:t>
      </w:r>
      <w:r w:rsidR="00FF6ADC">
        <w:t>ese</w:t>
      </w:r>
      <w:r>
        <w:t xml:space="preserve"> article</w:t>
      </w:r>
      <w:r w:rsidR="00FF6ADC">
        <w:t>s</w:t>
      </w:r>
      <w:r>
        <w:t xml:space="preserve"> relate to your future teaching practice?</w:t>
      </w:r>
    </w:p>
    <w:p w:rsidR="003B308E" w:rsidRDefault="003B308E" w:rsidP="00103518">
      <w:pPr>
        <w:pStyle w:val="ListParagraph"/>
        <w:numPr>
          <w:ilvl w:val="0"/>
          <w:numId w:val="6"/>
        </w:numPr>
        <w:spacing w:after="0"/>
      </w:pPr>
      <w:r>
        <w:t xml:space="preserve">How </w:t>
      </w:r>
      <w:r w:rsidR="00FF6ADC">
        <w:t>do the</w:t>
      </w:r>
      <w:r>
        <w:t>s</w:t>
      </w:r>
      <w:r w:rsidR="00FF6ADC">
        <w:t>e</w:t>
      </w:r>
      <w:r>
        <w:t xml:space="preserve"> article</w:t>
      </w:r>
      <w:r w:rsidR="00FF6ADC">
        <w:t xml:space="preserve">s relate to previous </w:t>
      </w:r>
      <w:r>
        <w:t>theory from this class?</w:t>
      </w:r>
      <w:r w:rsidR="00FF6ADC">
        <w:t xml:space="preserve"> </w:t>
      </w:r>
    </w:p>
    <w:p w:rsidR="00BF25CA" w:rsidRDefault="00BF25CA" w:rsidP="003B308E">
      <w:pPr>
        <w:spacing w:after="0"/>
      </w:pPr>
      <w:r>
        <w:t>You should format the response in a way that is most helpful for you, (you might choose to group based on readings or by question), but please do</w:t>
      </w:r>
      <w:r w:rsidR="0019388C">
        <w:t xml:space="preserve"> not exceed the 350 word limit.</w:t>
      </w:r>
    </w:p>
    <w:p w:rsidR="00BF25CA" w:rsidRPr="00BF25CA" w:rsidRDefault="00BF25CA" w:rsidP="003B308E">
      <w:pPr>
        <w:spacing w:after="0"/>
      </w:pPr>
    </w:p>
    <w:p w:rsidR="003B308E" w:rsidRDefault="003B308E" w:rsidP="003B308E">
      <w:pPr>
        <w:spacing w:after="0"/>
      </w:pPr>
      <w:r>
        <w:rPr>
          <w:b/>
        </w:rPr>
        <w:t>Snapshots of Learning</w:t>
      </w:r>
    </w:p>
    <w:p w:rsidR="003B308E" w:rsidRDefault="003B308E" w:rsidP="003B308E">
      <w:pPr>
        <w:spacing w:after="0"/>
      </w:pPr>
      <w:r>
        <w:t>This is an individual project applying a variety of learning theories to your personal stories (snapshots) of learning. Through class writing prompts and your own thinking about learning, you will develop three “snapshots” or concise, poignant vignettes of personally significant learning experiences.  You will then apple 2-3 learning theories (or a mix of theories) to the snapshot as a lens for interpreting and making sense of the learning moment.  A final “snapshot” will include a brief (not more than one well-developed paragraph), followed by equally concise thoughtful interpretations using theory as interpretive lenses.  These learning experiences and your deconstruction of them through the application of theory may have an enduring influence on your image of who you want to become as a teacher.</w:t>
      </w:r>
    </w:p>
    <w:p w:rsidR="003B308E" w:rsidRDefault="003B308E" w:rsidP="003B308E">
      <w:pPr>
        <w:spacing w:after="0"/>
      </w:pPr>
    </w:p>
    <w:p w:rsidR="003B308E" w:rsidRPr="007C6A2A" w:rsidRDefault="003B308E" w:rsidP="003B308E">
      <w:pPr>
        <w:spacing w:after="0"/>
      </w:pPr>
      <w:r>
        <w:t xml:space="preserve">Words are important in the development of the </w:t>
      </w:r>
      <w:r>
        <w:rPr>
          <w:i/>
        </w:rPr>
        <w:t>Snapshots of Learning</w:t>
      </w:r>
      <w:r>
        <w:t xml:space="preserve"> projects. Choose them carefully and thoughtfully. It is not quantity that is important, but quality. There will be</w:t>
      </w:r>
      <w:r w:rsidR="00FF6ADC">
        <w:t xml:space="preserve"> time to revise and conference with colleagues. You may find it useful to write more than three snapshots and then to “play” with the ideas of theory as a lens throughout the course.  Choose the three you are most satisfied with to submit as your final project</w:t>
      </w:r>
      <w:r w:rsidR="007C6A2A">
        <w:t xml:space="preserve">. </w:t>
      </w:r>
      <w:r w:rsidR="007C6A2A" w:rsidRPr="007C6A2A">
        <w:rPr>
          <w:i/>
        </w:rPr>
        <w:t>Snapshots</w:t>
      </w:r>
      <w:r w:rsidR="007C6A2A">
        <w:rPr>
          <w:i/>
        </w:rPr>
        <w:t xml:space="preserve"> </w:t>
      </w:r>
      <w:r w:rsidR="007C6A2A">
        <w:t>m</w:t>
      </w:r>
      <w:r w:rsidR="00FF6ADC">
        <w:t xml:space="preserve">ay </w:t>
      </w:r>
      <w:r w:rsidR="00FF6ADC">
        <w:lastRenderedPageBreak/>
        <w:t xml:space="preserve">be submitted electronically or in paper.  </w:t>
      </w:r>
      <w:r w:rsidR="007C6A2A" w:rsidRPr="007C6A2A">
        <w:rPr>
          <w:i/>
        </w:rPr>
        <w:t>Snapshot</w:t>
      </w:r>
      <w:r w:rsidR="007C6A2A">
        <w:t xml:space="preserve"> draft 1 is due</w:t>
      </w:r>
      <w:r w:rsidR="00FF6ADC">
        <w:t xml:space="preserve"> </w:t>
      </w:r>
      <w:r w:rsidR="007C6A2A">
        <w:t>7/26 (</w:t>
      </w:r>
      <w:r w:rsidR="0019388C">
        <w:t>10</w:t>
      </w:r>
      <w:r w:rsidR="007C6A2A">
        <w:t xml:space="preserve"> points), </w:t>
      </w:r>
      <w:r w:rsidR="007C6A2A">
        <w:rPr>
          <w:i/>
        </w:rPr>
        <w:t>Snapshot</w:t>
      </w:r>
      <w:r w:rsidR="007C6A2A">
        <w:t xml:space="preserve"> draft 2 is due 8/2 (</w:t>
      </w:r>
      <w:r w:rsidR="0019388C">
        <w:t>10</w:t>
      </w:r>
      <w:r w:rsidR="007C6A2A">
        <w:t xml:space="preserve"> points), and the final draft is due </w:t>
      </w:r>
      <w:r w:rsidR="0019388C">
        <w:t>8/11 (60 points).</w:t>
      </w:r>
    </w:p>
    <w:p w:rsidR="008F3E63" w:rsidRDefault="008F3E63" w:rsidP="008F3E63">
      <w:pPr>
        <w:spacing w:after="0"/>
        <w:rPr>
          <w:b/>
        </w:rPr>
      </w:pPr>
    </w:p>
    <w:p w:rsidR="007C6A2A" w:rsidRPr="00261958" w:rsidRDefault="00261958" w:rsidP="008F3E63">
      <w:pPr>
        <w:spacing w:after="0"/>
        <w:rPr>
          <w:b/>
        </w:rPr>
      </w:pPr>
      <w:r>
        <w:rPr>
          <w:b/>
        </w:rPr>
        <w:t>Collaborative Project: Teaching Application</w:t>
      </w:r>
    </w:p>
    <w:p w:rsidR="00AE7C00" w:rsidRDefault="00261958" w:rsidP="008F3E63">
      <w:pPr>
        <w:spacing w:after="0"/>
      </w:pPr>
      <w:r>
        <w:t>This is a collaborative project applying your emerging knowledge of learning theories</w:t>
      </w:r>
      <w:r w:rsidR="00B24717">
        <w:t>. Each</w:t>
      </w:r>
      <w:r>
        <w:t xml:space="preserve"> group </w:t>
      </w:r>
      <w:r w:rsidR="00B24717">
        <w:t xml:space="preserve">of 4-5 people </w:t>
      </w:r>
      <w:r>
        <w:t xml:space="preserve">will </w:t>
      </w:r>
      <w:r w:rsidR="00B24717">
        <w:t xml:space="preserve">decide upon an appropriate secondary school math or science topic (i.e. linear functions) and design a 20-minute teaching/learning activity that engages the class in learning something “new.”  Feel free to draw upon pre-existing curriculum, online activities or resources (such as Illuminations at </w:t>
      </w:r>
      <w:hyperlink r:id="rId7" w:history="1">
        <w:r w:rsidR="00B24717" w:rsidRPr="00707F97">
          <w:rPr>
            <w:rStyle w:val="Hyperlink"/>
          </w:rPr>
          <w:t>www.nctm.org</w:t>
        </w:r>
      </w:hyperlink>
      <w:r w:rsidR="00B24717">
        <w:t xml:space="preserve">).  The lesson should draw upon at least two different </w:t>
      </w:r>
      <w:r>
        <w:t xml:space="preserve">learning theories to provide a rationale for the instructional approaches taken. </w:t>
      </w:r>
      <w:r w:rsidR="00B24717">
        <w:t xml:space="preserve"> </w:t>
      </w:r>
      <w:r>
        <w:t xml:space="preserve"> </w:t>
      </w:r>
      <w:r w:rsidR="00B24717">
        <w:t xml:space="preserve">Each presentation </w:t>
      </w:r>
      <w:r>
        <w:t>will be followed by a class discussion of the application of learning theory in the lesson.</w:t>
      </w:r>
      <w:r w:rsidR="00B24717">
        <w:t xml:space="preserve">  In addition to the presentation, each </w:t>
      </w:r>
      <w:r w:rsidR="00AE7C00">
        <w:t>individual</w:t>
      </w:r>
      <w:r w:rsidR="00B24717">
        <w:t xml:space="preserve"> is responsible for a write-up </w:t>
      </w:r>
      <w:r w:rsidR="00AE7C00">
        <w:t>with the following elements:</w:t>
      </w:r>
    </w:p>
    <w:p w:rsidR="00A1053E" w:rsidRDefault="00AE7C00" w:rsidP="00AE7C00">
      <w:pPr>
        <w:pStyle w:val="ListParagraph"/>
        <w:numPr>
          <w:ilvl w:val="0"/>
          <w:numId w:val="9"/>
        </w:numPr>
        <w:spacing w:after="0"/>
      </w:pPr>
      <w:r>
        <w:t>A description of how the lesson relates to teaching/learning theories</w:t>
      </w:r>
      <w:r w:rsidR="00A1053E">
        <w:t xml:space="preserve"> (1-2 pages)</w:t>
      </w:r>
    </w:p>
    <w:p w:rsidR="00294FCA" w:rsidRDefault="00A1053E" w:rsidP="00AE7C00">
      <w:pPr>
        <w:pStyle w:val="ListParagraph"/>
        <w:numPr>
          <w:ilvl w:val="0"/>
          <w:numId w:val="9"/>
        </w:numPr>
        <w:spacing w:after="0"/>
      </w:pPr>
      <w:r>
        <w:t>A personal reflection on what you learned and how this project will impact your future teaching (1-2 pages)</w:t>
      </w:r>
    </w:p>
    <w:p w:rsidR="00AE7C00" w:rsidRDefault="00AE7C00" w:rsidP="00AE7C00">
      <w:pPr>
        <w:pStyle w:val="ListParagraph"/>
        <w:numPr>
          <w:ilvl w:val="0"/>
          <w:numId w:val="9"/>
        </w:numPr>
        <w:spacing w:after="0"/>
      </w:pPr>
      <w:r>
        <w:t xml:space="preserve">An evaluation of every group member </w:t>
      </w:r>
      <w:r w:rsidR="00A1053E">
        <w:t xml:space="preserve">(including </w:t>
      </w:r>
      <w:proofErr w:type="gramStart"/>
      <w:r w:rsidR="00A1053E">
        <w:t>yourself</w:t>
      </w:r>
      <w:proofErr w:type="gramEnd"/>
      <w:r w:rsidR="00A1053E">
        <w:t xml:space="preserve">) </w:t>
      </w:r>
      <w:r>
        <w:t>based upon the principles of group participation created by the class community</w:t>
      </w:r>
      <w:r w:rsidR="00A1053E">
        <w:t>.</w:t>
      </w:r>
    </w:p>
    <w:p w:rsidR="00AE7C00" w:rsidRPr="00261958" w:rsidRDefault="00A1053E" w:rsidP="00A1053E">
      <w:pPr>
        <w:spacing w:after="0"/>
      </w:pPr>
      <w:r>
        <w:t xml:space="preserve">The individual write-up will be due the date of your presentation, either 8/16 or 8/18. </w:t>
      </w:r>
      <w:proofErr w:type="gramStart"/>
      <w:r>
        <w:t>(20 points for the group’s presentation, 50 points for the write-up, 10 points based upon your group member’s evaluations.)</w:t>
      </w:r>
      <w:proofErr w:type="gramEnd"/>
    </w:p>
    <w:p w:rsidR="00261958" w:rsidRDefault="00261958" w:rsidP="008F3E63">
      <w:pPr>
        <w:spacing w:after="0"/>
      </w:pPr>
    </w:p>
    <w:p w:rsidR="00B50523" w:rsidRDefault="00B50523" w:rsidP="008F3E63">
      <w:pPr>
        <w:spacing w:after="0"/>
        <w:rPr>
          <w:b/>
        </w:rPr>
      </w:pPr>
      <w:r w:rsidRPr="00B50523">
        <w:rPr>
          <w:b/>
        </w:rPr>
        <w:t>Synthesis Paper</w:t>
      </w:r>
      <w:r w:rsidR="00B24717">
        <w:rPr>
          <w:b/>
        </w:rPr>
        <w:t>: Personal Perspectives on Teaching and Learning</w:t>
      </w:r>
    </w:p>
    <w:p w:rsidR="00B24717" w:rsidRDefault="00B24717" w:rsidP="008F3E63">
      <w:pPr>
        <w:spacing w:after="0"/>
      </w:pPr>
      <w:r>
        <w:t>After completing the assigned readings and participating in this course, you will write a final paper (6-8 pages, double spaced, standard margins and font) summarizing your positions regarding teaching and learning. The paper will have three complementary sections:</w:t>
      </w:r>
    </w:p>
    <w:p w:rsidR="00B24717" w:rsidRDefault="00B24717" w:rsidP="00B24717">
      <w:pPr>
        <w:pStyle w:val="ListParagraph"/>
        <w:numPr>
          <w:ilvl w:val="0"/>
          <w:numId w:val="7"/>
        </w:numPr>
        <w:spacing w:after="0"/>
      </w:pPr>
      <w:r>
        <w:t xml:space="preserve">A summary of the most relevant theories of teaching and learning, mainly from the </w:t>
      </w:r>
      <w:r w:rsidR="00D06FD8">
        <w:t>history of 20</w:t>
      </w:r>
      <w:r w:rsidR="00D06FD8" w:rsidRPr="00D06FD8">
        <w:rPr>
          <w:vertAlign w:val="superscript"/>
        </w:rPr>
        <w:t>th</w:t>
      </w:r>
      <w:r w:rsidR="00D06FD8">
        <w:t xml:space="preserve"> century U.S. educational learning theory;</w:t>
      </w:r>
    </w:p>
    <w:p w:rsidR="00D06FD8" w:rsidRDefault="00D06FD8" w:rsidP="00B24717">
      <w:pPr>
        <w:pStyle w:val="ListParagraph"/>
        <w:numPr>
          <w:ilvl w:val="0"/>
          <w:numId w:val="7"/>
        </w:numPr>
        <w:spacing w:after="0"/>
      </w:pPr>
      <w:r>
        <w:t>A clear description of the theory or theories that you view as most closely aligned with your own educational philosophy; and</w:t>
      </w:r>
    </w:p>
    <w:p w:rsidR="00D06FD8" w:rsidRDefault="00D06FD8" w:rsidP="00B24717">
      <w:pPr>
        <w:pStyle w:val="ListParagraph"/>
        <w:numPr>
          <w:ilvl w:val="0"/>
          <w:numId w:val="7"/>
        </w:numPr>
        <w:spacing w:after="0"/>
      </w:pPr>
      <w:r>
        <w:t>A description of how you imagine this perspective to manifest in your classroom with respect to your teaching and your students’ learning.</w:t>
      </w:r>
    </w:p>
    <w:p w:rsidR="00D06FD8" w:rsidRPr="00B24717" w:rsidRDefault="00D06FD8" w:rsidP="00D06FD8">
      <w:pPr>
        <w:spacing w:after="0"/>
      </w:pPr>
      <w:r>
        <w:t>A rough draft of the synthesis paper is due 8/9 (10 points) and the final draft i</w:t>
      </w:r>
      <w:r w:rsidR="00AE7C00">
        <w:t>s due on the last day of class, 8/18 (90 points).</w:t>
      </w:r>
    </w:p>
    <w:p w:rsidR="00B50523" w:rsidRDefault="00B50523" w:rsidP="008F3E63">
      <w:pPr>
        <w:spacing w:after="0"/>
      </w:pPr>
    </w:p>
    <w:p w:rsidR="00294FCA" w:rsidRPr="00F117E3" w:rsidRDefault="007C6A2A" w:rsidP="00294FCA">
      <w:pPr>
        <w:spacing w:after="0"/>
        <w:rPr>
          <w:b/>
        </w:rPr>
      </w:pPr>
      <w:r>
        <w:rPr>
          <w:b/>
        </w:rPr>
        <w:t>Course</w:t>
      </w:r>
      <w:r w:rsidR="00294FCA">
        <w:rPr>
          <w:b/>
        </w:rPr>
        <w:t xml:space="preserve"> Bibliography</w:t>
      </w:r>
    </w:p>
    <w:p w:rsidR="00CA6635" w:rsidRPr="00AF74C3" w:rsidRDefault="00CA6635" w:rsidP="00CA6635">
      <w:pPr>
        <w:spacing w:after="0"/>
        <w:ind w:left="720" w:hanging="720"/>
        <w:rPr>
          <w:rFonts w:ascii="Times New Roman" w:hAnsi="Times New Roman" w:cs="Times New Roman"/>
        </w:rPr>
      </w:pPr>
      <w:proofErr w:type="spellStart"/>
      <w:proofErr w:type="gramStart"/>
      <w:r w:rsidRPr="00AF74C3">
        <w:rPr>
          <w:rFonts w:ascii="Times New Roman" w:hAnsi="Times New Roman" w:cs="Times New Roman"/>
        </w:rPr>
        <w:t>Bransford</w:t>
      </w:r>
      <w:proofErr w:type="spellEnd"/>
      <w:r w:rsidRPr="00AF74C3">
        <w:rPr>
          <w:rFonts w:ascii="Times New Roman" w:hAnsi="Times New Roman" w:cs="Times New Roman"/>
        </w:rPr>
        <w:t>, J. D., Brown, A. L., &amp; Cocking, R. R. (Eds.).</w:t>
      </w:r>
      <w:proofErr w:type="gramEnd"/>
      <w:r w:rsidRPr="00AF74C3">
        <w:rPr>
          <w:rFonts w:ascii="Times New Roman" w:hAnsi="Times New Roman" w:cs="Times New Roman"/>
        </w:rPr>
        <w:t xml:space="preserve"> (1999). </w:t>
      </w:r>
      <w:r w:rsidRPr="00AF74C3">
        <w:rPr>
          <w:rFonts w:ascii="Times New Roman" w:hAnsi="Times New Roman" w:cs="Times New Roman"/>
          <w:i/>
        </w:rPr>
        <w:t>How People Learn: Brain, Mind, Experience, and School</w:t>
      </w:r>
      <w:r w:rsidRPr="00AF74C3">
        <w:rPr>
          <w:rFonts w:ascii="Times New Roman" w:hAnsi="Times New Roman" w:cs="Times New Roman"/>
        </w:rPr>
        <w:t>. Washington D.C.: National Academy Press.</w:t>
      </w:r>
    </w:p>
    <w:p w:rsidR="00CA6635" w:rsidRPr="004E513A" w:rsidRDefault="004E513A" w:rsidP="00CA6635">
      <w:pPr>
        <w:spacing w:after="0"/>
        <w:ind w:left="720" w:hanging="720"/>
        <w:rPr>
          <w:rFonts w:ascii="Times New Roman" w:eastAsiaTheme="minorEastAsia" w:hAnsi="Times New Roman" w:cs="Times New Roman"/>
        </w:rPr>
      </w:pPr>
      <w:r>
        <w:rPr>
          <w:rFonts w:ascii="Times New Roman" w:hAnsi="Times New Roman" w:cs="Times New Roman"/>
        </w:rPr>
        <w:t>*</w:t>
      </w:r>
      <w:r w:rsidR="00CA6635" w:rsidRPr="004E513A">
        <w:rPr>
          <w:rFonts w:ascii="Times New Roman" w:hAnsi="Times New Roman" w:cs="Times New Roman"/>
        </w:rPr>
        <w:t>Brooks, J. &amp; Brooks, M. (</w:t>
      </w:r>
      <w:r w:rsidRPr="004E513A">
        <w:rPr>
          <w:rFonts w:ascii="Times New Roman" w:hAnsi="Times New Roman" w:cs="Times New Roman"/>
        </w:rPr>
        <w:t>2001</w:t>
      </w:r>
      <w:r w:rsidR="00CA6635" w:rsidRPr="004E513A">
        <w:rPr>
          <w:rFonts w:ascii="Times New Roman" w:hAnsi="Times New Roman" w:cs="Times New Roman"/>
        </w:rPr>
        <w:t xml:space="preserve">). </w:t>
      </w:r>
      <w:proofErr w:type="gramStart"/>
      <w:r w:rsidR="00CA6635" w:rsidRPr="004E513A">
        <w:rPr>
          <w:rFonts w:ascii="Times New Roman" w:hAnsi="Times New Roman" w:cs="Times New Roman"/>
          <w:i/>
        </w:rPr>
        <w:t>The Case for the Constructivist Classroom</w:t>
      </w:r>
      <w:r w:rsidRPr="004E513A">
        <w:rPr>
          <w:rFonts w:ascii="Times New Roman" w:hAnsi="Times New Roman" w:cs="Times New Roman"/>
        </w:rPr>
        <w:t>.</w:t>
      </w:r>
      <w:proofErr w:type="gramEnd"/>
      <w:r w:rsidRPr="004E513A">
        <w:rPr>
          <w:rFonts w:ascii="Times New Roman" w:hAnsi="Times New Roman" w:cs="Times New Roman"/>
        </w:rPr>
        <w:t xml:space="preserve"> Upper Saddle River, NJ: Prentice-Hall, Inc.</w:t>
      </w:r>
      <w:r w:rsidR="00CA6635" w:rsidRPr="004E513A">
        <w:rPr>
          <w:rFonts w:ascii="Times New Roman" w:eastAsiaTheme="minorEastAsia" w:hAnsi="Times New Roman" w:cs="Times New Roman"/>
        </w:rPr>
        <w:t xml:space="preserve"> </w:t>
      </w:r>
    </w:p>
    <w:p w:rsidR="00CA6635" w:rsidRPr="00AF74C3" w:rsidRDefault="00CA6635" w:rsidP="00CA6635">
      <w:pPr>
        <w:spacing w:after="0"/>
        <w:ind w:left="720" w:hanging="720"/>
        <w:rPr>
          <w:rFonts w:ascii="Times New Roman" w:eastAsiaTheme="minorEastAsia" w:hAnsi="Times New Roman" w:cs="Times New Roman"/>
        </w:rPr>
      </w:pPr>
      <w:proofErr w:type="gramStart"/>
      <w:r w:rsidRPr="00AF74C3">
        <w:rPr>
          <w:rFonts w:ascii="Times New Roman" w:eastAsiaTheme="minorEastAsia" w:hAnsi="Times New Roman" w:cs="Times New Roman"/>
        </w:rPr>
        <w:t xml:space="preserve">Brownell, W. A., &amp; </w:t>
      </w:r>
      <w:proofErr w:type="spellStart"/>
      <w:r w:rsidRPr="00AF74C3">
        <w:rPr>
          <w:rFonts w:ascii="Times New Roman" w:eastAsiaTheme="minorEastAsia" w:hAnsi="Times New Roman" w:cs="Times New Roman"/>
        </w:rPr>
        <w:t>Chazal</w:t>
      </w:r>
      <w:proofErr w:type="spellEnd"/>
      <w:r w:rsidRPr="00AF74C3">
        <w:rPr>
          <w:rFonts w:ascii="Times New Roman" w:eastAsiaTheme="minorEastAsia" w:hAnsi="Times New Roman" w:cs="Times New Roman"/>
        </w:rPr>
        <w:t>, C. B. (1935).</w:t>
      </w:r>
      <w:proofErr w:type="gramEnd"/>
      <w:r w:rsidRPr="00AF74C3">
        <w:rPr>
          <w:rFonts w:ascii="Times New Roman" w:eastAsiaTheme="minorEastAsia" w:hAnsi="Times New Roman" w:cs="Times New Roman"/>
        </w:rPr>
        <w:t xml:space="preserve"> </w:t>
      </w:r>
      <w:proofErr w:type="gramStart"/>
      <w:r w:rsidRPr="00AF74C3">
        <w:rPr>
          <w:rFonts w:ascii="Times New Roman" w:eastAsiaTheme="minorEastAsia" w:hAnsi="Times New Roman" w:cs="Times New Roman"/>
        </w:rPr>
        <w:t>The Effects of Premature Drill in Third-Grade Arithmetic.</w:t>
      </w:r>
      <w:proofErr w:type="gramEnd"/>
      <w:r w:rsidRPr="00AF74C3">
        <w:rPr>
          <w:rFonts w:ascii="Times New Roman" w:eastAsiaTheme="minorEastAsia" w:hAnsi="Times New Roman" w:cs="Times New Roman"/>
        </w:rPr>
        <w:t xml:space="preserve"> </w:t>
      </w:r>
      <w:r w:rsidRPr="00AF74C3">
        <w:rPr>
          <w:rFonts w:ascii="Times New Roman" w:eastAsiaTheme="minorEastAsia" w:hAnsi="Times New Roman" w:cs="Times New Roman"/>
          <w:i/>
        </w:rPr>
        <w:t>The Journal of Educational Research</w:t>
      </w:r>
      <w:r w:rsidRPr="00AF74C3">
        <w:rPr>
          <w:rFonts w:ascii="Times New Roman" w:eastAsiaTheme="minorEastAsia" w:hAnsi="Times New Roman" w:cs="Times New Roman"/>
        </w:rPr>
        <w:t xml:space="preserve">, </w:t>
      </w:r>
      <w:r w:rsidRPr="00AF74C3">
        <w:rPr>
          <w:rFonts w:ascii="Times New Roman" w:eastAsiaTheme="minorEastAsia" w:hAnsi="Times New Roman" w:cs="Times New Roman"/>
          <w:i/>
        </w:rPr>
        <w:t>29</w:t>
      </w:r>
      <w:r w:rsidRPr="00AF74C3">
        <w:rPr>
          <w:rFonts w:ascii="Times New Roman" w:eastAsiaTheme="minorEastAsia" w:hAnsi="Times New Roman" w:cs="Times New Roman"/>
        </w:rPr>
        <w:t>(1), 17-28.</w:t>
      </w:r>
    </w:p>
    <w:p w:rsidR="00CA6635" w:rsidRPr="00AF74C3" w:rsidRDefault="00CA6635" w:rsidP="00CA6635">
      <w:pPr>
        <w:spacing w:after="0"/>
        <w:ind w:left="720" w:hanging="720"/>
        <w:rPr>
          <w:rFonts w:ascii="Times New Roman" w:hAnsi="Times New Roman" w:cs="Times New Roman"/>
        </w:rPr>
      </w:pPr>
      <w:proofErr w:type="spellStart"/>
      <w:proofErr w:type="gramStart"/>
      <w:r w:rsidRPr="00AF74C3">
        <w:rPr>
          <w:rFonts w:ascii="Times New Roman" w:hAnsi="Times New Roman" w:cs="Times New Roman"/>
        </w:rPr>
        <w:t>Carraher</w:t>
      </w:r>
      <w:proofErr w:type="spellEnd"/>
      <w:r w:rsidRPr="00AF74C3">
        <w:rPr>
          <w:rFonts w:ascii="Times New Roman" w:hAnsi="Times New Roman" w:cs="Times New Roman"/>
        </w:rPr>
        <w:t xml:space="preserve">, T., </w:t>
      </w:r>
      <w:proofErr w:type="spellStart"/>
      <w:r w:rsidRPr="00AF74C3">
        <w:rPr>
          <w:rFonts w:ascii="Times New Roman" w:hAnsi="Times New Roman" w:cs="Times New Roman"/>
        </w:rPr>
        <w:t>Carraher</w:t>
      </w:r>
      <w:proofErr w:type="spellEnd"/>
      <w:r w:rsidRPr="00AF74C3">
        <w:rPr>
          <w:rFonts w:ascii="Times New Roman" w:hAnsi="Times New Roman" w:cs="Times New Roman"/>
        </w:rPr>
        <w:t>, D., &amp; Schliemann, A. (1985).</w:t>
      </w:r>
      <w:proofErr w:type="gramEnd"/>
      <w:r w:rsidRPr="00AF74C3">
        <w:rPr>
          <w:rFonts w:ascii="Times New Roman" w:hAnsi="Times New Roman" w:cs="Times New Roman"/>
        </w:rPr>
        <w:t xml:space="preserve"> </w:t>
      </w:r>
      <w:proofErr w:type="gramStart"/>
      <w:r w:rsidRPr="00AF74C3">
        <w:rPr>
          <w:rFonts w:ascii="Times New Roman" w:hAnsi="Times New Roman" w:cs="Times New Roman"/>
        </w:rPr>
        <w:t>Mathematics in the streets and in schools.</w:t>
      </w:r>
      <w:proofErr w:type="gramEnd"/>
      <w:r w:rsidRPr="00AF74C3">
        <w:rPr>
          <w:rFonts w:ascii="Times New Roman" w:hAnsi="Times New Roman" w:cs="Times New Roman"/>
        </w:rPr>
        <w:t xml:space="preserve"> </w:t>
      </w:r>
      <w:r w:rsidRPr="00AF74C3">
        <w:rPr>
          <w:rFonts w:ascii="Times New Roman" w:hAnsi="Times New Roman" w:cs="Times New Roman"/>
          <w:i/>
        </w:rPr>
        <w:t>British Journal of Developmental Psychology</w:t>
      </w:r>
      <w:r w:rsidRPr="00AF74C3">
        <w:rPr>
          <w:rFonts w:ascii="Times New Roman" w:hAnsi="Times New Roman" w:cs="Times New Roman"/>
        </w:rPr>
        <w:t xml:space="preserve">, </w:t>
      </w:r>
      <w:r w:rsidRPr="00AF74C3">
        <w:rPr>
          <w:rFonts w:ascii="Times New Roman" w:hAnsi="Times New Roman" w:cs="Times New Roman"/>
          <w:i/>
        </w:rPr>
        <w:t>3</w:t>
      </w:r>
      <w:r w:rsidRPr="00AF74C3">
        <w:rPr>
          <w:rFonts w:ascii="Times New Roman" w:hAnsi="Times New Roman" w:cs="Times New Roman"/>
        </w:rPr>
        <w:t>, 21-29.</w:t>
      </w:r>
    </w:p>
    <w:p w:rsidR="00CA6635" w:rsidRPr="00CA6635" w:rsidRDefault="00CA6635" w:rsidP="00CA6635">
      <w:pPr>
        <w:spacing w:after="0"/>
        <w:ind w:left="720" w:hanging="720"/>
        <w:rPr>
          <w:rFonts w:ascii="Times New Roman" w:hAnsi="Times New Roman" w:cs="Times New Roman"/>
        </w:rPr>
      </w:pPr>
      <w:r>
        <w:rPr>
          <w:rFonts w:ascii="Times New Roman" w:hAnsi="Times New Roman" w:cs="Times New Roman"/>
        </w:rPr>
        <w:lastRenderedPageBreak/>
        <w:t xml:space="preserve">Cohen, D. (1990). A revolution in one classroom: The case of Mrs. </w:t>
      </w:r>
      <w:proofErr w:type="spellStart"/>
      <w:r>
        <w:rPr>
          <w:rFonts w:ascii="Times New Roman" w:hAnsi="Times New Roman" w:cs="Times New Roman"/>
        </w:rPr>
        <w:t>Oublier</w:t>
      </w:r>
      <w:proofErr w:type="spellEnd"/>
      <w:r>
        <w:rPr>
          <w:rFonts w:ascii="Times New Roman" w:hAnsi="Times New Roman" w:cs="Times New Roman"/>
        </w:rPr>
        <w:t xml:space="preserve">. </w:t>
      </w:r>
      <w:proofErr w:type="gramStart"/>
      <w:r>
        <w:rPr>
          <w:rFonts w:ascii="Times New Roman" w:hAnsi="Times New Roman" w:cs="Times New Roman"/>
          <w:i/>
        </w:rPr>
        <w:t>Educational Evaluation and Policy Analysis.</w:t>
      </w:r>
      <w:proofErr w:type="gramEnd"/>
      <w:r>
        <w:rPr>
          <w:rFonts w:ascii="Times New Roman" w:hAnsi="Times New Roman" w:cs="Times New Roman"/>
        </w:rPr>
        <w:t xml:space="preserve"> </w:t>
      </w:r>
      <w:r>
        <w:rPr>
          <w:rFonts w:ascii="Times New Roman" w:hAnsi="Times New Roman" w:cs="Times New Roman"/>
          <w:i/>
        </w:rPr>
        <w:t>12</w:t>
      </w:r>
      <w:r>
        <w:rPr>
          <w:rFonts w:ascii="Times New Roman" w:hAnsi="Times New Roman" w:cs="Times New Roman"/>
        </w:rPr>
        <w:t>(3), 311-329.</w:t>
      </w:r>
    </w:p>
    <w:p w:rsidR="00CA6635" w:rsidRPr="00AF74C3" w:rsidRDefault="00CA6635" w:rsidP="00CA6635">
      <w:pPr>
        <w:spacing w:after="0"/>
        <w:ind w:left="720" w:hanging="720"/>
        <w:rPr>
          <w:rFonts w:ascii="Times New Roman" w:hAnsi="Times New Roman" w:cs="Times New Roman"/>
        </w:rPr>
      </w:pPr>
      <w:proofErr w:type="spellStart"/>
      <w:r w:rsidRPr="00AF74C3">
        <w:rPr>
          <w:rFonts w:ascii="Times New Roman" w:hAnsi="Times New Roman" w:cs="Times New Roman"/>
        </w:rPr>
        <w:t>Kirschner</w:t>
      </w:r>
      <w:proofErr w:type="spellEnd"/>
      <w:r w:rsidRPr="00AF74C3">
        <w:rPr>
          <w:rFonts w:ascii="Times New Roman" w:hAnsi="Times New Roman" w:cs="Times New Roman"/>
        </w:rPr>
        <w:t xml:space="preserve">, P., </w:t>
      </w:r>
      <w:proofErr w:type="spellStart"/>
      <w:r w:rsidRPr="00AF74C3">
        <w:rPr>
          <w:rFonts w:ascii="Times New Roman" w:hAnsi="Times New Roman" w:cs="Times New Roman"/>
        </w:rPr>
        <w:t>Sweller</w:t>
      </w:r>
      <w:proofErr w:type="gramStart"/>
      <w:r w:rsidRPr="00AF74C3">
        <w:rPr>
          <w:rFonts w:ascii="Times New Roman" w:hAnsi="Times New Roman" w:cs="Times New Roman"/>
        </w:rPr>
        <w:t>,J</w:t>
      </w:r>
      <w:proofErr w:type="spellEnd"/>
      <w:proofErr w:type="gramEnd"/>
      <w:r w:rsidRPr="00AF74C3">
        <w:rPr>
          <w:rFonts w:ascii="Times New Roman" w:hAnsi="Times New Roman" w:cs="Times New Roman"/>
        </w:rPr>
        <w:t xml:space="preserve">., &amp; Clark, R. (2006). Why minimal guidance during instruction does not work: An analysis of the failure of constructivist, discovery, problem-based, experiential and inquiry-based teaching. </w:t>
      </w:r>
      <w:proofErr w:type="gramStart"/>
      <w:r w:rsidRPr="00AF74C3">
        <w:rPr>
          <w:rFonts w:ascii="Times New Roman" w:hAnsi="Times New Roman" w:cs="Times New Roman"/>
          <w:i/>
        </w:rPr>
        <w:t>Educational Psychologist</w:t>
      </w:r>
      <w:r w:rsidRPr="00AF74C3">
        <w:rPr>
          <w:rFonts w:ascii="Times New Roman" w:hAnsi="Times New Roman" w:cs="Times New Roman"/>
        </w:rPr>
        <w:t>.</w:t>
      </w:r>
      <w:proofErr w:type="gramEnd"/>
      <w:r w:rsidRPr="00AF74C3">
        <w:rPr>
          <w:rFonts w:ascii="Times New Roman" w:hAnsi="Times New Roman" w:cs="Times New Roman"/>
        </w:rPr>
        <w:t xml:space="preserve"> 41(2), 75-86.</w:t>
      </w:r>
    </w:p>
    <w:p w:rsidR="00CA6635" w:rsidRPr="00AF74C3" w:rsidRDefault="00CA6635" w:rsidP="00CA6635">
      <w:pPr>
        <w:pStyle w:val="NormalWeb"/>
        <w:spacing w:before="0" w:beforeAutospacing="0" w:after="0" w:afterAutospacing="0"/>
        <w:ind w:left="720" w:hanging="720"/>
      </w:pPr>
      <w:proofErr w:type="spellStart"/>
      <w:r w:rsidRPr="00AF74C3">
        <w:t>Lobato</w:t>
      </w:r>
      <w:proofErr w:type="spellEnd"/>
      <w:r w:rsidRPr="00AF74C3">
        <w:t xml:space="preserve">, J. (2003). How design research can inform a rethinking of transfer and vice versa. </w:t>
      </w:r>
      <w:r w:rsidRPr="00AF74C3">
        <w:rPr>
          <w:i/>
          <w:iCs/>
        </w:rPr>
        <w:t>Educational Researcher</w:t>
      </w:r>
      <w:r w:rsidRPr="00AF74C3">
        <w:t xml:space="preserve">, </w:t>
      </w:r>
      <w:r w:rsidRPr="00AF74C3">
        <w:rPr>
          <w:i/>
          <w:iCs/>
        </w:rPr>
        <w:t>32</w:t>
      </w:r>
      <w:r w:rsidRPr="00AF74C3">
        <w:t xml:space="preserve">(1), 17-20. </w:t>
      </w:r>
      <w:r w:rsidRPr="00AF74C3">
        <w:rPr>
          <w:rStyle w:val="z3988"/>
        </w:rPr>
        <w:t> </w:t>
      </w:r>
    </w:p>
    <w:p w:rsidR="00CA6635" w:rsidRPr="00AF74C3" w:rsidRDefault="004E513A" w:rsidP="00CA6635">
      <w:pPr>
        <w:spacing w:after="0"/>
        <w:ind w:left="720" w:hanging="720"/>
        <w:rPr>
          <w:rFonts w:ascii="Times New Roman" w:eastAsiaTheme="minorEastAsia" w:hAnsi="Times New Roman" w:cs="Times New Roman"/>
        </w:rPr>
      </w:pPr>
      <w:r>
        <w:rPr>
          <w:rFonts w:ascii="Times New Roman" w:eastAsiaTheme="minorEastAsia" w:hAnsi="Times New Roman" w:cs="Times New Roman"/>
        </w:rPr>
        <w:t>*</w:t>
      </w:r>
      <w:r w:rsidR="00CA6635" w:rsidRPr="00AF74C3">
        <w:rPr>
          <w:rFonts w:ascii="Times New Roman" w:eastAsiaTheme="minorEastAsia" w:hAnsi="Times New Roman" w:cs="Times New Roman"/>
        </w:rPr>
        <w:t xml:space="preserve">Phillips, D. C., &amp; </w:t>
      </w:r>
      <w:proofErr w:type="spellStart"/>
      <w:r w:rsidR="00CA6635" w:rsidRPr="00AF74C3">
        <w:rPr>
          <w:rFonts w:ascii="Times New Roman" w:eastAsiaTheme="minorEastAsia" w:hAnsi="Times New Roman" w:cs="Times New Roman"/>
        </w:rPr>
        <w:t>Soltis</w:t>
      </w:r>
      <w:proofErr w:type="spellEnd"/>
      <w:r w:rsidR="00CA6635" w:rsidRPr="00AF74C3">
        <w:rPr>
          <w:rFonts w:ascii="Times New Roman" w:eastAsiaTheme="minorEastAsia" w:hAnsi="Times New Roman" w:cs="Times New Roman"/>
        </w:rPr>
        <w:t xml:space="preserve">, J. F. (2009). </w:t>
      </w:r>
      <w:r w:rsidR="00CA6635" w:rsidRPr="00AF74C3">
        <w:rPr>
          <w:rFonts w:ascii="Times New Roman" w:eastAsiaTheme="minorEastAsia" w:hAnsi="Times New Roman" w:cs="Times New Roman"/>
          <w:i/>
        </w:rPr>
        <w:t>Perspectives on Learning</w:t>
      </w:r>
      <w:r w:rsidR="00CA6635" w:rsidRPr="00AF74C3">
        <w:rPr>
          <w:rFonts w:ascii="Times New Roman" w:eastAsiaTheme="minorEastAsia" w:hAnsi="Times New Roman" w:cs="Times New Roman"/>
        </w:rPr>
        <w:t xml:space="preserve"> (5th </w:t>
      </w:r>
      <w:proofErr w:type="gramStart"/>
      <w:r w:rsidR="00CA6635" w:rsidRPr="00AF74C3">
        <w:rPr>
          <w:rFonts w:ascii="Times New Roman" w:eastAsiaTheme="minorEastAsia" w:hAnsi="Times New Roman" w:cs="Times New Roman"/>
        </w:rPr>
        <w:t>ed</w:t>
      </w:r>
      <w:proofErr w:type="gramEnd"/>
      <w:r w:rsidR="00CA6635" w:rsidRPr="00AF74C3">
        <w:rPr>
          <w:rFonts w:ascii="Times New Roman" w:eastAsiaTheme="minorEastAsia" w:hAnsi="Times New Roman" w:cs="Times New Roman"/>
        </w:rPr>
        <w:t>.). New York: Teachers College Press.</w:t>
      </w:r>
    </w:p>
    <w:p w:rsidR="00CA6635" w:rsidRPr="00AF74C3" w:rsidRDefault="00CA6635" w:rsidP="00CA6635">
      <w:pPr>
        <w:spacing w:after="0"/>
        <w:ind w:left="720" w:hanging="720"/>
        <w:rPr>
          <w:rFonts w:ascii="Times New Roman" w:eastAsiaTheme="minorEastAsia" w:hAnsi="Times New Roman" w:cs="Times New Roman"/>
        </w:rPr>
      </w:pPr>
      <w:proofErr w:type="spellStart"/>
      <w:r w:rsidRPr="00AF74C3">
        <w:rPr>
          <w:rFonts w:ascii="Times New Roman" w:eastAsiaTheme="minorEastAsia" w:hAnsi="Times New Roman" w:cs="Times New Roman"/>
        </w:rPr>
        <w:t>Resnick</w:t>
      </w:r>
      <w:proofErr w:type="spellEnd"/>
      <w:r w:rsidRPr="00AF74C3">
        <w:rPr>
          <w:rFonts w:ascii="Times New Roman" w:eastAsiaTheme="minorEastAsia" w:hAnsi="Times New Roman" w:cs="Times New Roman"/>
        </w:rPr>
        <w:t xml:space="preserve">, L., &amp; Ford, W. (1981). </w:t>
      </w:r>
      <w:proofErr w:type="gramStart"/>
      <w:r w:rsidRPr="00AF74C3">
        <w:rPr>
          <w:rFonts w:ascii="Times New Roman" w:eastAsiaTheme="minorEastAsia" w:hAnsi="Times New Roman" w:cs="Times New Roman"/>
        </w:rPr>
        <w:t>The psychology of drill and practice.</w:t>
      </w:r>
      <w:proofErr w:type="gramEnd"/>
      <w:r w:rsidRPr="00AF74C3">
        <w:rPr>
          <w:rFonts w:ascii="Times New Roman" w:eastAsiaTheme="minorEastAsia" w:hAnsi="Times New Roman" w:cs="Times New Roman"/>
        </w:rPr>
        <w:t xml:space="preserve"> </w:t>
      </w:r>
      <w:r w:rsidRPr="00AF74C3">
        <w:rPr>
          <w:rFonts w:ascii="Times New Roman" w:eastAsiaTheme="minorEastAsia" w:hAnsi="Times New Roman" w:cs="Times New Roman"/>
          <w:i/>
        </w:rPr>
        <w:t>The Psychology of Mathematics for Instruction</w:t>
      </w:r>
      <w:r w:rsidRPr="00AF74C3">
        <w:rPr>
          <w:rFonts w:ascii="Times New Roman" w:eastAsiaTheme="minorEastAsia" w:hAnsi="Times New Roman" w:cs="Times New Roman"/>
        </w:rPr>
        <w:t xml:space="preserve"> (pp. 11-37). Hillsdale, New Jersey: Lawrence Erlbaum Associates.</w:t>
      </w:r>
    </w:p>
    <w:p w:rsidR="00CA6635" w:rsidRPr="00AF74C3" w:rsidRDefault="00CA6635" w:rsidP="00CA6635">
      <w:pPr>
        <w:spacing w:after="0"/>
        <w:ind w:left="720" w:hanging="720"/>
        <w:rPr>
          <w:rFonts w:ascii="Times New Roman" w:hAnsi="Times New Roman" w:cs="Times New Roman"/>
        </w:rPr>
      </w:pPr>
      <w:proofErr w:type="spellStart"/>
      <w:r w:rsidRPr="00AF74C3">
        <w:rPr>
          <w:rFonts w:ascii="Times New Roman" w:hAnsi="Times New Roman" w:cs="Times New Roman"/>
        </w:rPr>
        <w:t>Skemp</w:t>
      </w:r>
      <w:proofErr w:type="spellEnd"/>
      <w:r w:rsidRPr="00AF74C3">
        <w:rPr>
          <w:rFonts w:ascii="Times New Roman" w:hAnsi="Times New Roman" w:cs="Times New Roman"/>
        </w:rPr>
        <w:t xml:space="preserve">, R. (1978). </w:t>
      </w:r>
      <w:proofErr w:type="gramStart"/>
      <w:r w:rsidRPr="00AF74C3">
        <w:rPr>
          <w:rFonts w:ascii="Times New Roman" w:hAnsi="Times New Roman" w:cs="Times New Roman"/>
        </w:rPr>
        <w:t>Relational understanding and instrumental understanding.</w:t>
      </w:r>
      <w:proofErr w:type="gramEnd"/>
      <w:r w:rsidRPr="00AF74C3">
        <w:rPr>
          <w:rFonts w:ascii="Times New Roman" w:hAnsi="Times New Roman" w:cs="Times New Roman"/>
        </w:rPr>
        <w:t xml:space="preserve"> </w:t>
      </w:r>
      <w:r w:rsidRPr="00AF74C3">
        <w:rPr>
          <w:rFonts w:ascii="Times New Roman" w:hAnsi="Times New Roman" w:cs="Times New Roman"/>
          <w:i/>
        </w:rPr>
        <w:t>Arithmetic Teacher</w:t>
      </w:r>
      <w:r w:rsidRPr="00AF74C3">
        <w:rPr>
          <w:rFonts w:ascii="Times New Roman" w:hAnsi="Times New Roman" w:cs="Times New Roman"/>
        </w:rPr>
        <w:t xml:space="preserve">, </w:t>
      </w:r>
      <w:r w:rsidRPr="00AF74C3">
        <w:rPr>
          <w:rFonts w:ascii="Times New Roman" w:hAnsi="Times New Roman" w:cs="Times New Roman"/>
          <w:i/>
        </w:rPr>
        <w:t>26</w:t>
      </w:r>
      <w:r w:rsidRPr="00AF74C3">
        <w:rPr>
          <w:rFonts w:ascii="Times New Roman" w:hAnsi="Times New Roman" w:cs="Times New Roman"/>
        </w:rPr>
        <w:t>, 9-15.</w:t>
      </w:r>
    </w:p>
    <w:p w:rsidR="00CA6635" w:rsidRPr="000830AE" w:rsidRDefault="00CA6635" w:rsidP="00CA6635">
      <w:pPr>
        <w:spacing w:after="0"/>
        <w:ind w:left="720" w:hanging="720"/>
        <w:rPr>
          <w:rFonts w:ascii="Times New Roman" w:hAnsi="Times New Roman" w:cs="Times New Roman"/>
        </w:rPr>
      </w:pPr>
      <w:proofErr w:type="gramStart"/>
      <w:r w:rsidRPr="000830AE">
        <w:rPr>
          <w:rFonts w:ascii="Times New Roman" w:hAnsi="Times New Roman" w:cs="Times New Roman"/>
        </w:rPr>
        <w:t>Simon, M. (1995).</w:t>
      </w:r>
      <w:proofErr w:type="gramEnd"/>
      <w:r w:rsidRPr="000830AE">
        <w:rPr>
          <w:rFonts w:ascii="Times New Roman" w:hAnsi="Times New Roman" w:cs="Times New Roman"/>
        </w:rPr>
        <w:t xml:space="preserve"> </w:t>
      </w:r>
      <w:proofErr w:type="spellStart"/>
      <w:proofErr w:type="gramStart"/>
      <w:r w:rsidRPr="000830AE">
        <w:rPr>
          <w:rFonts w:ascii="Times New Roman" w:hAnsi="Times New Roman" w:cs="Times New Roman"/>
        </w:rPr>
        <w:t>Reonstructing</w:t>
      </w:r>
      <w:proofErr w:type="spellEnd"/>
      <w:r w:rsidRPr="000830AE">
        <w:rPr>
          <w:rFonts w:ascii="Times New Roman" w:hAnsi="Times New Roman" w:cs="Times New Roman"/>
        </w:rPr>
        <w:t xml:space="preserve"> mathematics pedagogy from a constructivist perspective.</w:t>
      </w:r>
      <w:proofErr w:type="gramEnd"/>
      <w:r w:rsidRPr="000830AE">
        <w:rPr>
          <w:rFonts w:ascii="Times New Roman" w:hAnsi="Times New Roman" w:cs="Times New Roman"/>
        </w:rPr>
        <w:t xml:space="preserve"> </w:t>
      </w:r>
      <w:proofErr w:type="gramStart"/>
      <w:r w:rsidRPr="000830AE">
        <w:rPr>
          <w:rFonts w:ascii="Times New Roman" w:hAnsi="Times New Roman" w:cs="Times New Roman"/>
          <w:i/>
        </w:rPr>
        <w:t>Journal for Research in Mathematics Education.</w:t>
      </w:r>
      <w:proofErr w:type="gramEnd"/>
      <w:r w:rsidRPr="000830AE">
        <w:rPr>
          <w:rFonts w:ascii="Times New Roman" w:hAnsi="Times New Roman" w:cs="Times New Roman"/>
          <w:i/>
        </w:rPr>
        <w:t xml:space="preserve"> 26</w:t>
      </w:r>
      <w:r w:rsidRPr="000830AE">
        <w:rPr>
          <w:rFonts w:ascii="Times New Roman" w:hAnsi="Times New Roman" w:cs="Times New Roman"/>
        </w:rPr>
        <w:t>(2), 114-145.</w:t>
      </w:r>
    </w:p>
    <w:p w:rsidR="00CA6635" w:rsidRPr="00AF74C3" w:rsidRDefault="00CA6635" w:rsidP="00CA6635">
      <w:pPr>
        <w:spacing w:after="0"/>
        <w:ind w:left="720" w:hanging="720"/>
        <w:rPr>
          <w:rFonts w:ascii="Times New Roman" w:hAnsi="Times New Roman" w:cs="Times New Roman"/>
        </w:rPr>
      </w:pPr>
      <w:proofErr w:type="gramStart"/>
      <w:r w:rsidRPr="00AF74C3">
        <w:rPr>
          <w:rFonts w:ascii="Times New Roman" w:hAnsi="Times New Roman" w:cs="Times New Roman"/>
        </w:rPr>
        <w:t>Star, J. (2005).</w:t>
      </w:r>
      <w:proofErr w:type="gramEnd"/>
      <w:r w:rsidRPr="00AF74C3">
        <w:rPr>
          <w:rFonts w:ascii="Times New Roman" w:hAnsi="Times New Roman" w:cs="Times New Roman"/>
        </w:rPr>
        <w:t xml:space="preserve"> </w:t>
      </w:r>
      <w:proofErr w:type="spellStart"/>
      <w:proofErr w:type="gramStart"/>
      <w:r w:rsidRPr="00AF74C3">
        <w:rPr>
          <w:rFonts w:ascii="Times New Roman" w:hAnsi="Times New Roman" w:cs="Times New Roman"/>
        </w:rPr>
        <w:t>Reconceptualizing</w:t>
      </w:r>
      <w:proofErr w:type="spellEnd"/>
      <w:r w:rsidRPr="00AF74C3">
        <w:rPr>
          <w:rFonts w:ascii="Times New Roman" w:hAnsi="Times New Roman" w:cs="Times New Roman"/>
        </w:rPr>
        <w:t xml:space="preserve"> procedural knowledge.</w:t>
      </w:r>
      <w:proofErr w:type="gramEnd"/>
      <w:r w:rsidRPr="00AF74C3">
        <w:rPr>
          <w:rFonts w:ascii="Times New Roman" w:hAnsi="Times New Roman" w:cs="Times New Roman"/>
        </w:rPr>
        <w:t xml:space="preserve"> </w:t>
      </w:r>
      <w:r w:rsidRPr="00AF74C3">
        <w:rPr>
          <w:rFonts w:ascii="Times New Roman" w:hAnsi="Times New Roman" w:cs="Times New Roman"/>
          <w:i/>
        </w:rPr>
        <w:t>Journal for Research in Mathematics Education</w:t>
      </w:r>
      <w:r w:rsidRPr="00AF74C3">
        <w:rPr>
          <w:rFonts w:ascii="Times New Roman" w:hAnsi="Times New Roman" w:cs="Times New Roman"/>
        </w:rPr>
        <w:t xml:space="preserve">, </w:t>
      </w:r>
      <w:r w:rsidRPr="00AF74C3">
        <w:rPr>
          <w:rFonts w:ascii="Times New Roman" w:hAnsi="Times New Roman" w:cs="Times New Roman"/>
          <w:i/>
        </w:rPr>
        <w:t>36</w:t>
      </w:r>
      <w:r w:rsidRPr="00AF74C3">
        <w:rPr>
          <w:rFonts w:ascii="Times New Roman" w:hAnsi="Times New Roman" w:cs="Times New Roman"/>
        </w:rPr>
        <w:t xml:space="preserve">(5), 404-411. </w:t>
      </w:r>
    </w:p>
    <w:p w:rsidR="00CA6635" w:rsidRPr="00AE6A04" w:rsidRDefault="00CA6635" w:rsidP="00AE6A04">
      <w:pPr>
        <w:spacing w:after="0"/>
        <w:ind w:left="720" w:hanging="720"/>
        <w:rPr>
          <w:rFonts w:ascii="Times New Roman" w:hAnsi="Times New Roman" w:cs="Times New Roman"/>
        </w:rPr>
      </w:pPr>
      <w:proofErr w:type="gramStart"/>
      <w:r w:rsidRPr="00AF74C3">
        <w:rPr>
          <w:rFonts w:ascii="Times New Roman" w:hAnsi="Times New Roman" w:cs="Times New Roman"/>
        </w:rPr>
        <w:t>Thompson, A. G., Philipp, R., Thompson, P. W., &amp; Boyd, B. A. (1994).</w:t>
      </w:r>
      <w:proofErr w:type="gramEnd"/>
      <w:r w:rsidRPr="00AF74C3">
        <w:rPr>
          <w:rFonts w:ascii="Times New Roman" w:hAnsi="Times New Roman" w:cs="Times New Roman"/>
        </w:rPr>
        <w:t xml:space="preserve"> </w:t>
      </w:r>
      <w:proofErr w:type="spellStart"/>
      <w:proofErr w:type="gramStart"/>
      <w:r w:rsidRPr="00AF74C3">
        <w:rPr>
          <w:rFonts w:ascii="Times New Roman" w:hAnsi="Times New Roman" w:cs="Times New Roman"/>
        </w:rPr>
        <w:t>Calculational</w:t>
      </w:r>
      <w:proofErr w:type="spellEnd"/>
      <w:r w:rsidRPr="00AF74C3">
        <w:rPr>
          <w:rFonts w:ascii="Times New Roman" w:hAnsi="Times New Roman" w:cs="Times New Roman"/>
        </w:rPr>
        <w:t xml:space="preserve"> and conceptual orientations in teaching mathematics.</w:t>
      </w:r>
      <w:proofErr w:type="gramEnd"/>
      <w:r w:rsidRPr="00AF74C3">
        <w:rPr>
          <w:rFonts w:ascii="Times New Roman" w:hAnsi="Times New Roman" w:cs="Times New Roman"/>
        </w:rPr>
        <w:t xml:space="preserve"> </w:t>
      </w:r>
      <w:proofErr w:type="gramStart"/>
      <w:r w:rsidRPr="00AF74C3">
        <w:rPr>
          <w:rFonts w:ascii="Times New Roman" w:hAnsi="Times New Roman" w:cs="Times New Roman"/>
        </w:rPr>
        <w:t xml:space="preserve">In A. F. </w:t>
      </w:r>
      <w:proofErr w:type="spellStart"/>
      <w:r w:rsidRPr="00AF74C3">
        <w:rPr>
          <w:rFonts w:ascii="Times New Roman" w:hAnsi="Times New Roman" w:cs="Times New Roman"/>
        </w:rPr>
        <w:t>Coxford</w:t>
      </w:r>
      <w:proofErr w:type="spellEnd"/>
      <w:r w:rsidRPr="00AF74C3">
        <w:rPr>
          <w:rFonts w:ascii="Times New Roman" w:hAnsi="Times New Roman" w:cs="Times New Roman"/>
        </w:rPr>
        <w:t xml:space="preserve"> (Ed.), </w:t>
      </w:r>
      <w:r w:rsidRPr="00AF74C3">
        <w:rPr>
          <w:rFonts w:ascii="Times New Roman" w:hAnsi="Times New Roman" w:cs="Times New Roman"/>
          <w:i/>
        </w:rPr>
        <w:t>Professional development for teachers of mathematics</w:t>
      </w:r>
      <w:r w:rsidRPr="00AF74C3">
        <w:rPr>
          <w:rFonts w:ascii="Times New Roman" w:hAnsi="Times New Roman" w:cs="Times New Roman"/>
        </w:rPr>
        <w:t xml:space="preserve"> (pp. 79-92).</w:t>
      </w:r>
      <w:proofErr w:type="gramEnd"/>
      <w:r w:rsidRPr="00AF74C3">
        <w:rPr>
          <w:rFonts w:ascii="Times New Roman" w:hAnsi="Times New Roman" w:cs="Times New Roman"/>
        </w:rPr>
        <w:t xml:space="preserve"> Reston, VA: National Council of Teachers of Mathematics.</w:t>
      </w:r>
    </w:p>
    <w:p w:rsidR="00CA6635" w:rsidRPr="00AF74C3" w:rsidRDefault="00CA6635" w:rsidP="004E513A">
      <w:pPr>
        <w:spacing w:after="0"/>
        <w:rPr>
          <w:rFonts w:ascii="Times New Roman" w:hAnsi="Times New Roman" w:cs="Times New Roman"/>
          <w:b/>
        </w:rPr>
      </w:pPr>
      <w:bookmarkStart w:id="0" w:name="_GoBack"/>
      <w:bookmarkEnd w:id="0"/>
    </w:p>
    <w:p w:rsidR="00CA6635" w:rsidRPr="00AF74C3" w:rsidRDefault="004E513A" w:rsidP="00CA6635">
      <w:pPr>
        <w:spacing w:after="0"/>
        <w:ind w:left="720" w:hanging="720"/>
        <w:rPr>
          <w:rFonts w:ascii="Times New Roman" w:eastAsiaTheme="minorEastAsia" w:hAnsi="Times New Roman" w:cs="Times New Roman"/>
        </w:rPr>
      </w:pPr>
      <w:r>
        <w:rPr>
          <w:rFonts w:ascii="Times New Roman" w:eastAsiaTheme="minorEastAsia" w:hAnsi="Times New Roman" w:cs="Times New Roman"/>
        </w:rPr>
        <w:t>* Primary Texts for the course</w:t>
      </w:r>
    </w:p>
    <w:p w:rsidR="00CA6635" w:rsidRPr="00AF74C3" w:rsidRDefault="00CA6635" w:rsidP="00CA6635">
      <w:pPr>
        <w:ind w:left="720" w:hanging="720"/>
        <w:rPr>
          <w:rFonts w:ascii="Times New Roman" w:hAnsi="Times New Roman" w:cs="Times New Roman"/>
        </w:rPr>
      </w:pPr>
    </w:p>
    <w:p w:rsidR="00294FCA" w:rsidRPr="00940529" w:rsidRDefault="00294FCA" w:rsidP="00CA6635">
      <w:pPr>
        <w:spacing w:after="0"/>
      </w:pPr>
    </w:p>
    <w:sectPr w:rsidR="00294FCA" w:rsidRPr="00940529" w:rsidSect="0094052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31B9A"/>
    <w:multiLevelType w:val="hybridMultilevel"/>
    <w:tmpl w:val="3DC2BBF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CA1A97"/>
    <w:multiLevelType w:val="hybridMultilevel"/>
    <w:tmpl w:val="6E50547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38436E"/>
    <w:multiLevelType w:val="hybridMultilevel"/>
    <w:tmpl w:val="0AC81DC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9757E8"/>
    <w:multiLevelType w:val="hybridMultilevel"/>
    <w:tmpl w:val="E40EA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DE3EDA"/>
    <w:multiLevelType w:val="hybridMultilevel"/>
    <w:tmpl w:val="001A4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0733E7"/>
    <w:multiLevelType w:val="hybridMultilevel"/>
    <w:tmpl w:val="BAA629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0D2411"/>
    <w:multiLevelType w:val="hybridMultilevel"/>
    <w:tmpl w:val="044AD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2135CA"/>
    <w:multiLevelType w:val="hybridMultilevel"/>
    <w:tmpl w:val="ABCC3D5E"/>
    <w:lvl w:ilvl="0" w:tplc="35CE72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AB77351"/>
    <w:multiLevelType w:val="hybridMultilevel"/>
    <w:tmpl w:val="95848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8E4D92"/>
    <w:multiLevelType w:val="hybridMultilevel"/>
    <w:tmpl w:val="5A6E919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9"/>
  </w:num>
  <w:num w:numId="4">
    <w:abstractNumId w:val="1"/>
  </w:num>
  <w:num w:numId="5">
    <w:abstractNumId w:val="0"/>
  </w:num>
  <w:num w:numId="6">
    <w:abstractNumId w:val="4"/>
  </w:num>
  <w:num w:numId="7">
    <w:abstractNumId w:val="8"/>
  </w:num>
  <w:num w:numId="8">
    <w:abstractNumId w:val="6"/>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8F3E63"/>
    <w:rsid w:val="000830AE"/>
    <w:rsid w:val="000C2D16"/>
    <w:rsid w:val="00103518"/>
    <w:rsid w:val="001455E6"/>
    <w:rsid w:val="0019388C"/>
    <w:rsid w:val="00261958"/>
    <w:rsid w:val="00294FCA"/>
    <w:rsid w:val="003B308E"/>
    <w:rsid w:val="003C0E20"/>
    <w:rsid w:val="004E513A"/>
    <w:rsid w:val="006E6AF0"/>
    <w:rsid w:val="007275CE"/>
    <w:rsid w:val="007C6A2A"/>
    <w:rsid w:val="008246A0"/>
    <w:rsid w:val="0085135D"/>
    <w:rsid w:val="008F3E63"/>
    <w:rsid w:val="00940529"/>
    <w:rsid w:val="00A1053E"/>
    <w:rsid w:val="00AE6A04"/>
    <w:rsid w:val="00AE7C00"/>
    <w:rsid w:val="00B24717"/>
    <w:rsid w:val="00B50523"/>
    <w:rsid w:val="00BF25CA"/>
    <w:rsid w:val="00C279F2"/>
    <w:rsid w:val="00CA6635"/>
    <w:rsid w:val="00D06FD8"/>
    <w:rsid w:val="00EB4292"/>
    <w:rsid w:val="00F117E3"/>
    <w:rsid w:val="00FF6AD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7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3E63"/>
    <w:rPr>
      <w:color w:val="0000FF" w:themeColor="hyperlink"/>
      <w:u w:val="single"/>
    </w:rPr>
  </w:style>
  <w:style w:type="table" w:styleId="TableGrid">
    <w:name w:val="Table Grid"/>
    <w:basedOn w:val="TableNormal"/>
    <w:uiPriority w:val="59"/>
    <w:rsid w:val="008F3E63"/>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94FCA"/>
    <w:pPr>
      <w:ind w:left="720"/>
      <w:contextualSpacing/>
    </w:pPr>
  </w:style>
  <w:style w:type="paragraph" w:styleId="NormalWeb">
    <w:name w:val="Normal (Web)"/>
    <w:basedOn w:val="Normal"/>
    <w:uiPriority w:val="99"/>
    <w:unhideWhenUsed/>
    <w:rsid w:val="00CA6635"/>
    <w:pPr>
      <w:spacing w:before="100" w:beforeAutospacing="1" w:after="100" w:afterAutospacing="1"/>
    </w:pPr>
    <w:rPr>
      <w:rFonts w:ascii="Times New Roman" w:eastAsia="Times New Roman" w:hAnsi="Times New Roman" w:cs="Times New Roman"/>
    </w:rPr>
  </w:style>
  <w:style w:type="character" w:customStyle="1" w:styleId="z3988">
    <w:name w:val="z3988"/>
    <w:basedOn w:val="DefaultParagraphFont"/>
    <w:rsid w:val="00CA66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nctm.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ccaffrc@pdx.ed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514</TotalTime>
  <Pages>5</Pages>
  <Words>1770</Words>
  <Characters>10092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11839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Larsen</dc:creator>
  <cp:keywords/>
  <cp:lastModifiedBy>Carolyn</cp:lastModifiedBy>
  <cp:revision>16</cp:revision>
  <dcterms:created xsi:type="dcterms:W3CDTF">2011-07-07T20:53:00Z</dcterms:created>
  <dcterms:modified xsi:type="dcterms:W3CDTF">2011-07-18T21:32:00Z</dcterms:modified>
</cp:coreProperties>
</file>